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davion_posam6.htm"/>
        <w:bookmarkStart w:id="1" w:name="ksdavion_posam6"/>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17,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333-289205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Post Effective Amendment No. 6</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9_edei--DocumentType_dxL_c20250101"/>
      <w:bookmarkEnd w:id="2"/>
      <w:r>
        <w:rPr>
          <w:rFonts w:ascii="Times New Roman;Times;Serif" w:hAnsi="Times New Roman;Times;Serif"/>
          <w:b/>
          <w:i w:val="false"/>
          <w:caps w:val="false"/>
          <w:smallCaps w:val="false"/>
          <w:sz w:val="24"/>
        </w:rPr>
        <w:t>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G27599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bookmarkStart w:id="3" w:name="xdx_90C_edei--EntityRegistrantName_c2025"/>
      <w:bookmarkEnd w:id="3"/>
      <w:r>
        <w:rPr>
          <w:rFonts w:ascii="Times New Roman;Times;Serif" w:hAnsi="Times New Roman;Times;Serif"/>
          <w:b/>
          <w:i w:val="false"/>
          <w:caps w:val="false"/>
          <w:smallCaps w:val="false"/>
          <w:sz w:val="24"/>
        </w:rPr>
        <w:t>DAVION HEALTHCARE PLC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issuer of deposited securities as specified in its charter)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issuer’s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tbl>
      <w:tblPr>
        <w:tblW w:w="6555" w:type="dxa"/>
        <w:jc w:val="left"/>
        <w:tblInd w:w="0" w:type="dxa"/>
        <w:tblLayout w:type="fixed"/>
        <w:tblCellMar>
          <w:top w:w="0" w:type="dxa"/>
          <w:left w:w="0" w:type="dxa"/>
          <w:bottom w:w="28" w:type="dxa"/>
          <w:right w:w="0" w:type="dxa"/>
        </w:tblCellMar>
      </w:tblPr>
      <w:tblGrid>
        <w:gridCol w:w="2525"/>
        <w:gridCol w:w="60"/>
        <w:gridCol w:w="2375"/>
        <w:gridCol w:w="60"/>
        <w:gridCol w:w="1535"/>
      </w:tblGrid>
      <w:tr>
        <w:trPr/>
        <w:tc>
          <w:tcPr>
            <w:tcW w:w="2525" w:type="dxa"/>
            <w:tcBorders>
              <w:bottom w:val="single" w:sz="8" w:space="0" w:color="000000"/>
            </w:tcBorders>
            <w:vAlign w:val="center"/>
          </w:tcPr>
          <w:p>
            <w:pPr>
              <w:pStyle w:val="TableContents"/>
              <w:bidi w:val="0"/>
              <w:spacing w:before="0" w:after="283"/>
              <w:jc w:val="center"/>
              <w:rPr>
                <w:b/>
                <w:sz w:val="20"/>
              </w:rPr>
            </w:pPr>
            <w:r>
              <w:rPr>
                <w:b/>
                <w:sz w:val="20"/>
              </w:rPr>
              <w:t xml:space="preserve">Republic of </w:t>
            </w:r>
            <w:bookmarkStart w:id="4" w:name="xdx_901_edei--EntityIncorporationStateCo"/>
            <w:bookmarkEnd w:id="4"/>
            <w:r>
              <w:rPr>
                <w:b/>
                <w:sz w:val="20"/>
              </w:rPr>
              <w:t>Ireland</w:t>
            </w:r>
          </w:p>
        </w:tc>
        <w:tc>
          <w:tcPr>
            <w:tcW w:w="60" w:type="dxa"/>
            <w:tcBorders/>
            <w:tcMar>
              <w:bottom w:w="0" w:type="dxa"/>
            </w:tcMar>
            <w:vAlign w:val="center"/>
          </w:tcPr>
          <w:p>
            <w:pPr>
              <w:pStyle w:val="TableContents"/>
              <w:bidi w:val="0"/>
              <w:spacing w:before="0" w:after="283"/>
              <w:jc w:val="center"/>
              <w:rPr/>
            </w:pPr>
            <w:r>
              <w:rPr/>
              <w:t> </w:t>
            </w:r>
          </w:p>
        </w:tc>
        <w:tc>
          <w:tcPr>
            <w:tcW w:w="2375" w:type="dxa"/>
            <w:tcBorders>
              <w:bottom w:val="single" w:sz="8" w:space="0" w:color="000000"/>
            </w:tcBorders>
            <w:vAlign w:val="center"/>
          </w:tcPr>
          <w:p>
            <w:pPr>
              <w:pStyle w:val="TableContents"/>
              <w:bidi w:val="0"/>
              <w:spacing w:before="0" w:after="283"/>
              <w:jc w:val="center"/>
              <w:rPr>
                <w:b/>
                <w:sz w:val="20"/>
              </w:rPr>
            </w:pPr>
            <w:r>
              <w:rPr>
                <w:b/>
                <w:sz w:val="20"/>
              </w:rPr>
              <w:t>3841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b/>
                <w:sz w:val="20"/>
              </w:rPr>
            </w:pPr>
            <w:r>
              <w:rPr>
                <w:b/>
                <w:sz w:val="20"/>
              </w:rPr>
              <w:t>Not Applicable</w:t>
            </w:r>
          </w:p>
        </w:tc>
      </w:tr>
      <w:tr>
        <w:trPr/>
        <w:tc>
          <w:tcPr>
            <w:tcW w:w="2525" w:type="dxa"/>
            <w:tcBorders/>
            <w:tcMar>
              <w:bottom w:w="0" w:type="dxa"/>
            </w:tcMar>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sz w:val="20"/>
              </w:rPr>
            </w:pPr>
            <w:r>
              <w:rPr>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5" w:name="xdx_903_edei--EntityAddressAddressLine1_"/>
      <w:bookmarkEnd w:id="5"/>
      <w:r>
        <w:rPr>
          <w:rFonts w:ascii="Times New Roman;Times;Serif" w:hAnsi="Times New Roman;Times;Serif"/>
          <w:b/>
          <w:i w:val="false"/>
          <w:caps w:val="false"/>
          <w:smallCaps w:val="false"/>
          <w:sz w:val="20"/>
        </w:rPr>
        <w:t xml:space="preserve">Unit A, </w:t>
      </w:r>
      <w:bookmarkStart w:id="6" w:name="xdx_901_edei--EntityAddressAddressLine2_"/>
      <w:bookmarkEnd w:id="6"/>
      <w:r>
        <w:rPr>
          <w:rFonts w:ascii="Times New Roman;Times;Serif" w:hAnsi="Times New Roman;Times;Serif"/>
          <w:b/>
          <w:i w:val="false"/>
          <w:caps w:val="false"/>
          <w:smallCaps w:val="false"/>
          <w:sz w:val="20"/>
        </w:rPr>
        <w:t>West Cork Business &amp; Technology Park,</w:t>
      </w:r>
    </w:p>
    <w:p>
      <w:pPr>
        <w:pStyle w:val="TextBody"/>
        <w:bidi w:val="0"/>
        <w:spacing w:before="0" w:after="0"/>
        <w:jc w:val="center"/>
        <w:rPr>
          <w:rFonts w:ascii="Times New Roman;Times;Serif" w:hAnsi="Times New Roman;Times;Serif"/>
          <w:b w:val="false"/>
          <w:i w:val="false"/>
          <w:caps w:val="false"/>
          <w:smallCaps w:val="false"/>
          <w:sz w:val="20"/>
        </w:rPr>
      </w:pPr>
      <w:bookmarkStart w:id="7" w:name="xdx_908_edei--EntityAddressCityOrTown_c2"/>
      <w:bookmarkEnd w:id="7"/>
      <w:r>
        <w:rPr>
          <w:rFonts w:ascii="Times New Roman;Times;Serif" w:hAnsi="Times New Roman;Times;Serif"/>
          <w:b/>
          <w:i w:val="false"/>
          <w:caps w:val="false"/>
          <w:smallCaps w:val="false"/>
          <w:sz w:val="20"/>
        </w:rPr>
        <w:t xml:space="preserve">Clonakilty, County Cork, </w:t>
      </w:r>
      <w:bookmarkStart w:id="8" w:name="xdx_906_edei--EntityAddressPostalZipCode"/>
      <w:bookmarkEnd w:id="8"/>
      <w:r>
        <w:rPr>
          <w:rFonts w:ascii="Times New Roman;Times;Serif" w:hAnsi="Times New Roman;Times;Serif"/>
          <w:b/>
          <w:i w:val="false"/>
          <w:caps w:val="false"/>
          <w:smallCaps w:val="false"/>
          <w:sz w:val="20"/>
        </w:rPr>
        <w:t>P85 FV48,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Ireland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bookmarkStart w:id="9" w:name="xdx_900_edei--CityAreaCode_c20250101__20"/>
      <w:bookmarkEnd w:id="9"/>
      <w:r>
        <w:rPr>
          <w:rFonts w:ascii="Times New Roman;Times;Serif" w:hAnsi="Times New Roman;Times;Serif"/>
          <w:b w:val="false"/>
          <w:i w:val="false"/>
          <w:caps w:val="false"/>
          <w:smallCaps w:val="false"/>
          <w:sz w:val="20"/>
        </w:rPr>
        <w:t xml:space="preserve">353 </w:t>
      </w:r>
      <w:bookmarkStart w:id="10" w:name="xdx_902_edei--LocalPhoneNumber_c20250101"/>
      <w:bookmarkEnd w:id="10"/>
      <w:r>
        <w:rPr>
          <w:rFonts w:ascii="Times New Roman;Times;Serif" w:hAnsi="Times New Roman;Times;Serif"/>
          <w:b w:val="false"/>
          <w:i w:val="false"/>
          <w:caps w:val="false"/>
          <w:smallCaps w:val="false"/>
          <w:sz w:val="20"/>
        </w:rPr>
        <w:t>2238 808 958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xdx_906_edei--ContactPersonnelName_c2025"/>
      <w:bookmarkEnd w:id="11"/>
      <w:r>
        <w:rPr>
          <w:rFonts w:ascii="Times New Roman;Times;Serif" w:hAnsi="Times New Roman;Times;Serif"/>
          <w:b/>
          <w:i w:val="false"/>
          <w:caps w:val="false"/>
          <w:smallCaps w:val="false"/>
          <w:sz w:val="20"/>
        </w:rPr>
        <w:t>David E Price</w:t>
      </w:r>
    </w:p>
    <w:p>
      <w:pPr>
        <w:pStyle w:val="TextBody"/>
        <w:bidi w:val="0"/>
        <w:spacing w:before="0" w:after="0"/>
        <w:jc w:val="center"/>
        <w:rPr>
          <w:rFonts w:ascii="Times New Roman;Times;Serif" w:hAnsi="Times New Roman;Times;Serif"/>
          <w:b/>
          <w:i w:val="false"/>
          <w:caps w:val="false"/>
          <w:smallCaps w:val="false"/>
          <w:sz w:val="20"/>
        </w:rPr>
      </w:pPr>
      <w:bookmarkStart w:id="12" w:name="xdx_904_edei--EntityAddressAddressLine1_"/>
      <w:bookmarkEnd w:id="12"/>
      <w:r>
        <w:rPr>
          <w:rFonts w:ascii="Times New Roman;Times;Serif" w:hAnsi="Times New Roman;Times;Serif"/>
          <w:b/>
          <w:i w:val="false"/>
          <w:caps w:val="false"/>
          <w:smallCaps w:val="false"/>
          <w:sz w:val="20"/>
        </w:rPr>
        <w:t>3 Bethesda Metro Center</w:t>
      </w:r>
    </w:p>
    <w:p>
      <w:pPr>
        <w:pStyle w:val="TextBody"/>
        <w:bidi w:val="0"/>
        <w:spacing w:before="0" w:after="0"/>
        <w:jc w:val="center"/>
        <w:rPr>
          <w:rFonts w:ascii="Times New Roman;Times;Serif" w:hAnsi="Times New Roman;Times;Serif"/>
          <w:b/>
          <w:i w:val="false"/>
          <w:caps w:val="false"/>
          <w:smallCaps w:val="false"/>
          <w:sz w:val="20"/>
        </w:rPr>
      </w:pPr>
      <w:bookmarkStart w:id="13" w:name="xdx_908_edei--EntityAddressAddressLine2_"/>
      <w:bookmarkEnd w:id="13"/>
      <w:r>
        <w:rPr>
          <w:rFonts w:ascii="Times New Roman;Times;Serif" w:hAnsi="Times New Roman;Times;Serif"/>
          <w:b/>
          <w:i w:val="false"/>
          <w:caps w:val="false"/>
          <w:smallCaps w:val="false"/>
          <w:sz w:val="20"/>
        </w:rPr>
        <w:t>Suite 700</w:t>
      </w:r>
    </w:p>
    <w:p>
      <w:pPr>
        <w:pStyle w:val="TextBody"/>
        <w:bidi w:val="0"/>
        <w:spacing w:before="0" w:after="0"/>
        <w:jc w:val="center"/>
        <w:rPr>
          <w:rFonts w:ascii="Times New Roman;Times;Serif" w:hAnsi="Times New Roman;Times;Serif"/>
          <w:b/>
          <w:i w:val="false"/>
          <w:caps w:val="false"/>
          <w:smallCaps w:val="false"/>
          <w:sz w:val="20"/>
        </w:rPr>
      </w:pPr>
      <w:bookmarkStart w:id="14" w:name="xdx_901_edei--EntityAddressAddressLine3_"/>
      <w:bookmarkEnd w:id="14"/>
      <w:r>
        <w:rPr>
          <w:rFonts w:ascii="Times New Roman;Times;Serif" w:hAnsi="Times New Roman;Times;Serif"/>
          <w:b/>
          <w:i w:val="false"/>
          <w:caps w:val="false"/>
          <w:smallCaps w:val="false"/>
          <w:sz w:val="20"/>
        </w:rPr>
        <w:t>Bethesda</w:t>
      </w:r>
    </w:p>
    <w:p>
      <w:pPr>
        <w:pStyle w:val="TextBody"/>
        <w:bidi w:val="0"/>
        <w:spacing w:before="0" w:after="0"/>
        <w:jc w:val="center"/>
        <w:rPr>
          <w:rFonts w:ascii="Times New Roman;Times;Serif" w:hAnsi="Times New Roman;Times;Serif"/>
          <w:b/>
          <w:i w:val="false"/>
          <w:caps w:val="false"/>
          <w:smallCaps w:val="false"/>
          <w:sz w:val="20"/>
        </w:rPr>
      </w:pPr>
      <w:bookmarkStart w:id="15" w:name="xdx_901_edei--EntityAddressStateOrProvin"/>
      <w:bookmarkEnd w:id="15"/>
      <w:r>
        <w:rPr>
          <w:rFonts w:ascii="Times New Roman;Times;Serif" w:hAnsi="Times New Roman;Times;Serif"/>
          <w:b/>
          <w:i w:val="false"/>
          <w:caps w:val="false"/>
          <w:smallCaps w:val="false"/>
          <w:sz w:val="20"/>
        </w:rPr>
        <w:t xml:space="preserve">MD </w:t>
      </w:r>
      <w:bookmarkStart w:id="16" w:name="xdx_904_edei--EntityAddressPostalZipCode"/>
      <w:bookmarkEnd w:id="16"/>
      <w:r>
        <w:rPr>
          <w:rFonts w:ascii="Times New Roman;Times;Serif" w:hAnsi="Times New Roman;Times;Serif"/>
          <w:b/>
          <w:i w:val="false"/>
          <w:caps w:val="false"/>
          <w:smallCaps w:val="false"/>
          <w:sz w:val="20"/>
        </w:rPr>
        <w:t>20814</w:t>
      </w:r>
    </w:p>
    <w:p>
      <w:pPr>
        <w:pStyle w:val="TextBody"/>
        <w:bidi w:val="0"/>
        <w:spacing w:before="0" w:after="0"/>
        <w:jc w:val="center"/>
        <w:rPr>
          <w:rFonts w:ascii="Times New Roman;Times;Serif" w:hAnsi="Times New Roman;Times;Serif"/>
          <w:b/>
          <w:i w:val="false"/>
          <w:caps w:val="false"/>
          <w:smallCaps w:val="false"/>
          <w:sz w:val="20"/>
        </w:rPr>
      </w:pPr>
      <w:bookmarkStart w:id="17" w:name="xdx_904_edei--CityAreaCode_c20250101__20"/>
      <w:bookmarkEnd w:id="17"/>
      <w:r>
        <w:rPr>
          <w:rFonts w:ascii="Times New Roman;Times;Serif" w:hAnsi="Times New Roman;Times;Serif"/>
          <w:b/>
          <w:i w:val="false"/>
          <w:caps w:val="false"/>
          <w:smallCaps w:val="false"/>
          <w:sz w:val="20"/>
        </w:rPr>
        <w:t xml:space="preserve">202 </w:t>
      </w:r>
      <w:bookmarkStart w:id="18" w:name="xdx_902_edei--LocalPhoneNumber_c20250101"/>
      <w:bookmarkEnd w:id="18"/>
      <w:r>
        <w:rPr>
          <w:rFonts w:ascii="Times New Roman;Times;Serif" w:hAnsi="Times New Roman;Times;Serif"/>
          <w:b/>
          <w:i w:val="false"/>
          <w:caps w:val="false"/>
          <w:smallCaps w:val="false"/>
          <w:sz w:val="20"/>
        </w:rPr>
        <w:t>536 5191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Registrar in the United States: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VStock Transfer LLC, 18 Lafayette Place, Woodmere, NY 11598, USA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6 is being filed as a post-effective amendment to a registration statement that became automatically effective on November 28, 2025, pursuant to Section 8(a) of the Securities Act of 1933.</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not seeking effectiveness of this Amendment.</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firstLine="72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060"/>
        <w:gridCol w:w="1580"/>
        <w:gridCol w:w="1940"/>
        <w:gridCol w:w="2465"/>
      </w:tblGrid>
      <w:tr>
        <w:trPr/>
        <w:tc>
          <w:tcPr>
            <w:tcW w:w="2060" w:type="dxa"/>
            <w:tcBorders/>
            <w:vAlign w:val="center"/>
          </w:tcPr>
          <w:p>
            <w:pPr>
              <w:pStyle w:val="TableContents"/>
              <w:bidi w:val="0"/>
              <w:spacing w:before="0" w:after="283"/>
              <w:jc w:val="center"/>
              <w:rPr>
                <w:sz w:val="20"/>
              </w:rPr>
            </w:pPr>
            <w:r>
              <w:rPr>
                <w:sz w:val="20"/>
              </w:rPr>
              <w:t>Large accelerated filer ☐</w:t>
            </w:r>
          </w:p>
        </w:tc>
        <w:tc>
          <w:tcPr>
            <w:tcW w:w="1580" w:type="dxa"/>
            <w:tcBorders/>
            <w:vAlign w:val="center"/>
          </w:tcPr>
          <w:p>
            <w:pPr>
              <w:pStyle w:val="TableContents"/>
              <w:bidi w:val="0"/>
              <w:spacing w:before="0" w:after="283"/>
              <w:jc w:val="center"/>
              <w:rPr>
                <w:sz w:val="20"/>
              </w:rPr>
            </w:pPr>
            <w:r>
              <w:rPr>
                <w:sz w:val="20"/>
              </w:rPr>
              <w:t>Accelerated filer ☐</w:t>
            </w:r>
          </w:p>
        </w:tc>
        <w:tc>
          <w:tcPr>
            <w:tcW w:w="1940" w:type="dxa"/>
            <w:tcBorders/>
            <w:vAlign w:val="center"/>
          </w:tcPr>
          <w:p>
            <w:pPr>
              <w:pStyle w:val="TableContents"/>
              <w:bidi w:val="0"/>
              <w:spacing w:before="0" w:after="283"/>
              <w:jc w:val="center"/>
              <w:rPr>
                <w:sz w:val="20"/>
              </w:rPr>
            </w:pPr>
            <w:bookmarkStart w:id="19" w:name="xdx_90F_edei--EntityFilerCategory_c20250"/>
            <w:bookmarkEnd w:id="19"/>
            <w:r>
              <w:rPr>
                <w:sz w:val="20"/>
              </w:rPr>
              <w:t>Non-accelerated filer ☒</w:t>
            </w:r>
          </w:p>
        </w:tc>
        <w:tc>
          <w:tcPr>
            <w:tcW w:w="2465" w:type="dxa"/>
            <w:tcBorders/>
            <w:vAlign w:val="center"/>
          </w:tcPr>
          <w:p>
            <w:pPr>
              <w:pStyle w:val="TableContents"/>
              <w:bidi w:val="0"/>
              <w:spacing w:before="0" w:after="283"/>
              <w:jc w:val="center"/>
              <w:rPr>
                <w:sz w:val="20"/>
              </w:rPr>
            </w:pPr>
            <w:r>
              <w:rPr>
                <w:sz w:val="20"/>
              </w:rPr>
              <w:t xml:space="preserve">Emerging growth company </w:t>
            </w:r>
            <w:bookmarkStart w:id="20" w:name="xdx_90D_edei--EntityEmergingGrowthCompan"/>
            <w:bookmarkEnd w:id="20"/>
            <w:r>
              <w:rPr>
                <w:sz w:val="20"/>
              </w:rPr>
              <w:t>☒</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21" w:name="xdx_900_edei--EntityExTransitionPeriod_c"/>
      <w:bookmarkEnd w:id="21"/>
      <w:r>
        <w:rPr>
          <w:rFonts w:ascii="Times New Roman;Times;Serif" w:hAnsi="Times New Roman;Times;Serif"/>
          <w:b w:val="false"/>
          <w:i w:val="false"/>
          <w:caps w:val="false"/>
          <w:smallCaps w:val="false"/>
          <w:sz w:val="20"/>
        </w:rPr>
        <w:t>☐</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solely to a direct listing of our Ordinary Shares by the registered shareholders identified in this prospectus (“Registered Shareholders”), which are being registered for a secondary offering. The Registered Shareholders may or may not, elect to sell their Ordinary Shares covered by this prospectus, as and to the extent they determine. All 25,000,000 issued and outstanding Ordinary Shares are being registered solely to permit trading on the Nasdaq Global Market. Our Ordinary Shares are being registered for resale under Rule 415 of the Securities Act. Resales by our affiliates will remain subject to the limitations of Rule 144.</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Ordinary Shares has been passed upon by David E. Price, Esq. of Washington, DC. The full opinion itself is filed as an exhibit (Exhibit 5.1 – Opinion of Counsel as to the Legality of the Securities Being Registered).</w:t>
      </w:r>
    </w:p>
    <w:p>
      <w:pPr>
        <w:pStyle w:val="TextBody"/>
        <w:bidi w:val="0"/>
        <w:spacing w:before="0" w:after="0"/>
        <w:ind w:left="0" w:right="0" w:firstLine="367"/>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Revere Securities LLC as our corporate advisor and as our Lead Market Maker in connection with this direct listing. This direct listing does not involve a firm commitment 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participate in the opening auction. The Lead Market Maker participates in the Nasdaq opening process in accordance with applicable exchange rules, including confirming readiness for trading and interacting with Nasdaq systems as required. However, neither the Company nor its advisors determine or control the opening price, which is established solely through Nasdaq’s opening auction based on buy and sell orders submitted by market participants.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meeting Nasdaq’s initial listing requirements applicable to a direct listing, the Company provided Nasdaq with valuation materials in accordance with Nasdaq Listing Rule IM-5315-1. These included materials prepared by the Company, supporting third-party valuation materials prepared for the Company, and evidence of recent private transactions in the Company’s Ordinary Shares.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Company provided Nasdaq with information regarding approximately 215 private, off-market transactions in its Ordinary Shares conducted by an existing shareholder during a three-month period preceding Nasdaq’s review. These transactions were executed at prices of approximately $11.00 per share, including transactions originally denominated in euro and converted into U.S. dollars, and were presented to Nasdaq at the time of their review, as evidence of recent market-based pricing in connection with the Company’s listing application. These transactions were conducted on a negotiated, private basis between shareholders and third-party investors and are not indicative of the price at which the Company’s Ordinary Shares will trade in a public market.</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review of the valuation materials provided by the Company, including the recent private transaction data, and in accordance with its listing rules, Nasdaq has indicated to the Company that, for listing qualification purposes only, it is using a qualification price of $12.36 per share. This qualification price reflects Nasdaq’s application of its listing standards to the materials submitted by the Company and the number of issued and outstanding Ordinary Shares.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$12.36 per share qualification price:</w:t>
      </w:r>
    </w:p>
    <w:p>
      <w:pPr>
        <w:pStyle w:val="TextBody"/>
        <w:bidi w:val="0"/>
        <w:spacing w:before="0" w:after="0"/>
        <w:ind w:left="0" w:right="0" w:firstLine="3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
        <w:gridCol w:w="99"/>
        <w:gridCol w:w="10041"/>
      </w:tblGrid>
      <w:tr>
        <w:trPr/>
        <w:tc>
          <w:tcPr>
            <w:tcW w:w="65" w:type="dxa"/>
            <w:tcBorders/>
            <w:vAlign w:val="center"/>
          </w:tcPr>
          <w:p>
            <w:pPr>
              <w:pStyle w:val="TableContents"/>
              <w:bidi w:val="0"/>
              <w:spacing w:before="0" w:after="283"/>
              <w:ind w:left="0" w:right="0" w:hanging="200"/>
              <w:jc w:val="left"/>
              <w:rPr/>
            </w:pPr>
            <w:r>
              <w:rPr/>
              <w:t> </w:t>
            </w:r>
          </w:p>
        </w:tc>
        <w:tc>
          <w:tcPr>
            <w:tcW w:w="99" w:type="dxa"/>
            <w:tcBorders/>
            <w:vAlign w:val="center"/>
          </w:tcPr>
          <w:p>
            <w:pPr>
              <w:pStyle w:val="TableContents"/>
              <w:bidi w:val="0"/>
              <w:spacing w:before="0" w:after="283"/>
              <w:ind w:left="0" w:right="0" w:hanging="200"/>
              <w:jc w:val="both"/>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 xml:space="preserve">is used solely by Nasdaq for purposes of assessing compliance with its initial listing requirements; </w:t>
            </w:r>
          </w:p>
        </w:tc>
      </w:tr>
      <w:tr>
        <w:trPr/>
        <w:tc>
          <w:tcPr>
            <w:tcW w:w="65" w:type="dxa"/>
            <w:tcBorders/>
            <w:vAlign w:val="center"/>
          </w:tcPr>
          <w:p>
            <w:pPr>
              <w:pStyle w:val="TableContents"/>
              <w:bidi w:val="0"/>
              <w:spacing w:before="0" w:after="283"/>
              <w:ind w:left="0" w:right="0" w:hanging="200"/>
              <w:jc w:val="left"/>
              <w:rPr/>
            </w:pPr>
            <w:r>
              <w:rPr/>
              <w:t> </w:t>
            </w:r>
          </w:p>
        </w:tc>
        <w:tc>
          <w:tcPr>
            <w:tcW w:w="99" w:type="dxa"/>
            <w:tcBorders/>
            <w:vAlign w:val="center"/>
          </w:tcPr>
          <w:p>
            <w:pPr>
              <w:pStyle w:val="TableContents"/>
              <w:bidi w:val="0"/>
              <w:spacing w:before="0" w:after="283"/>
              <w:ind w:left="0" w:right="0" w:hanging="200"/>
              <w:jc w:val="both"/>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 xml:space="preserve">does not represent an offering price, reference price, or market price; and </w:t>
            </w:r>
          </w:p>
        </w:tc>
      </w:tr>
      <w:tr>
        <w:trPr/>
        <w:tc>
          <w:tcPr>
            <w:tcW w:w="65" w:type="dxa"/>
            <w:tcBorders/>
            <w:vAlign w:val="center"/>
          </w:tcPr>
          <w:p>
            <w:pPr>
              <w:pStyle w:val="TableContents"/>
              <w:bidi w:val="0"/>
              <w:spacing w:before="0" w:after="283"/>
              <w:ind w:left="0" w:right="0" w:hanging="200"/>
              <w:jc w:val="left"/>
              <w:rPr/>
            </w:pPr>
            <w:r>
              <w:rPr/>
              <w:t> </w:t>
            </w:r>
          </w:p>
        </w:tc>
        <w:tc>
          <w:tcPr>
            <w:tcW w:w="99" w:type="dxa"/>
            <w:tcBorders/>
            <w:vAlign w:val="center"/>
          </w:tcPr>
          <w:p>
            <w:pPr>
              <w:pStyle w:val="TableContents"/>
              <w:bidi w:val="0"/>
              <w:spacing w:before="0" w:after="283"/>
              <w:ind w:left="0" w:right="0" w:hanging="200"/>
              <w:jc w:val="both"/>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 xml:space="preserve">should not be viewed as an indication of the price at which the Company’s Ordinary Shares will trade upon commencement of trading. </w:t>
            </w:r>
          </w:p>
        </w:tc>
      </w:tr>
    </w:tbl>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did not prepare an independent valuation report and based its qualification price determination on its review of valuation materials provided by the Company in accordance with its listing rules. The third-party valuation materials referenced above were prepared for the Company for informational and internal purposes and were provided to Nasdaq as supporting materials only.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materials are not included in this Registration Statement, and no third-party valuation report is incorporated by reference or treated as expertised disclosure.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opening price of the Company’s Ordinary Shares will be determined by Nasdaq’s opening auction process based on buy and sell orders submitted by market participants and may differ significantly from the qualification price.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previously referenced an expected opening price of $12.00 per share solely for internal listing analysis purposes, and should not be relied upon for any investment decision. Nasdaq’s qualification price of $12.36 per share is a separate listing-assessment reference based on Nasdaq’s review of valuation materials provided by the Company in accordance with its listing rules and should not be viewed as a prediction of the price at which the Company’s Ordinary Shares will trade when listed.</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Nasdaq has indicated to the Company this qualification price, the listing of the Company’s Ordinary Shares remains subject to Nasdaq’s final review and approval and to continued satisfaction of all applicable listing requirements.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Planned Duration of Effectiveness.</w:t>
      </w:r>
      <w:r>
        <w:rPr>
          <w:rFonts w:ascii="Times New Roman;Times;Serif" w:hAnsi="Times New Roman;Times;Serif"/>
          <w:b w:val="false"/>
          <w:i w:val="false"/>
          <w:caps w:val="false"/>
          <w:smallCaps w:val="false"/>
          <w:sz w:val="20"/>
        </w:rPr>
        <w:t xml:space="preserve"> The Company currently intends to maintain the effectiveness of this registration statement for a period of up to two (2) years following the date of initial effectiveness, or such shorter period as all registered Ordinary Shares have been sold or the registration statement is earlier withdrawn by the Company by post-effective amendment. The Company may elect to extend or terminate this registration statement at any time in its sole discretion, subject to applicable securities laws and exchange requirements.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pPr>
      <w:r>
        <w:rPr>
          <w:rFonts w:ascii="Times New Roman;Times;Serif" w:hAnsi="Times New Roman;Times;Serif"/>
          <w:b/>
          <w:i w:val="false"/>
          <w:caps w:val="false"/>
          <w:smallCaps w:val="false"/>
          <w:sz w:val="20"/>
        </w:rPr>
        <w:t>Investing in our Ordinary Shares involves a high degree of risk. See the “</w:t>
      </w:r>
      <w:hyperlink w:anchor="f1_002">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section of this prospectus for the risks and uncertainties you should consider before investing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367"/>
        <w:jc w:val="center"/>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6 is being filed as a post-effective amendment to the Registration Statement on Form F-1 (File No. 333-289205), which became automatically effective on November 28, 2025, under Section 8(a) of the Securities Act. This Amendment supplements and updates the disclosure contained in the Registration Statement on Form F-1 as previously amended, including prior post-effective amendments.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6 to the Company's Registration Statement on Form F-1 is filed principally in response to comments received from the Staff of the U.S. Securities and Exchange Commission. This Amendment addresses those comments and includes only those revisions necessary to address the Staff's comments together with conforming amendments throughout the Prospectus to ensure consistency with the restated financial statements including revisions reflecting the accounting treatment of the February 2023 transfer of intellectual property as a common-control transfer, recognised at predecessor carrying amount rather than as an acquisition measured at fair value, and as a consequence, clarifications relating to the direct listing process, intellectual property disclosure, trading mechanics, exchange discretion, related risk factors, and disclosure updates reflecting the Company's previously filed audited consolidated financial statements for the year ended December 31, 2025. Accordingly, the February 2023 transfer has been accounted for as a transfer between entities under common control using predecessor carrying values.</w:t>
      </w:r>
    </w:p>
    <w:p>
      <w:pPr>
        <w:pStyle w:val="TextBody"/>
        <w:bidi w:val="0"/>
        <w:ind w:left="0" w:right="0" w:firstLine="367"/>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does not register any additional securities, and does not modify the terms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requesting effectiveness of this Amendment and respectfully invites the Staff of the U.S. Securities and Exchange Commission to review the additional disclosures provided herein.</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AN OFFERING; NO SOLICITATION OF SHAREHOLDER SALES</w:t>
      </w:r>
    </w:p>
    <w:p>
      <w:pPr>
        <w:pStyle w:val="TextBody"/>
        <w:bidi w:val="0"/>
        <w:spacing w:before="0" w:after="0"/>
        <w:ind w:left="0" w:right="0" w:firstLine="367"/>
        <w:jc w:val="center"/>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constitute an offer of securities by the Company. We are not conducting a primary offering and will not receive any proceeds from the sale of shares by Registered Shareholders. We are not asking any shareholder to sell shares, and we are not recommending, encouraging, soliciting, or advising any shareholder with respect to the resale of Ordinary Shares. All decisions regarding whether, when, and how many shares to sell are made solely by each selling shareholder, independently of the Company.</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prospectus forms part of a registration statement that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is currently effective. The information contained herein may be updated or amended by subsequent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toc"/>
      <w:bookmarkEnd w:id="2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370"/>
        <w:gridCol w:w="455"/>
      </w:tblGrid>
      <w:tr>
        <w:trPr/>
        <w:tc>
          <w:tcPr>
            <w:tcW w:w="737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7370" w:type="dxa"/>
            <w:tcBorders/>
            <w:shd w:fill="EEEEEE" w:val="clear"/>
            <w:vAlign w:val="center"/>
          </w:tcPr>
          <w:p>
            <w:pPr>
              <w:pStyle w:val="TableContents"/>
              <w:bidi w:val="0"/>
              <w:spacing w:before="0" w:after="283"/>
              <w:jc w:val="left"/>
              <w:rPr/>
            </w:pPr>
            <w:hyperlink w:anchor="f1_003">
              <w:r>
                <w:rPr>
                  <w:rStyle w:val="InternetLink"/>
                </w:rPr>
                <w:t>Special Note Regarding Forward Looking Statements</w:t>
              </w:r>
            </w:hyperlink>
          </w:p>
        </w:tc>
        <w:tc>
          <w:tcPr>
            <w:tcW w:w="455" w:type="dxa"/>
            <w:tcBorders/>
            <w:shd w:fill="EEEEEE" w:val="clear"/>
            <w:vAlign w:val="center"/>
          </w:tcPr>
          <w:p>
            <w:pPr>
              <w:pStyle w:val="TableContents"/>
              <w:bidi w:val="0"/>
              <w:spacing w:before="0" w:after="283"/>
              <w:jc w:val="center"/>
              <w:rPr/>
            </w:pPr>
            <w:r>
              <w:rPr/>
              <w:t>1</w:t>
            </w:r>
          </w:p>
        </w:tc>
      </w:tr>
      <w:tr>
        <w:trPr/>
        <w:tc>
          <w:tcPr>
            <w:tcW w:w="7370" w:type="dxa"/>
            <w:tcBorders/>
            <w:shd w:fill="FFFFFF" w:val="clear"/>
            <w:vAlign w:val="center"/>
          </w:tcPr>
          <w:p>
            <w:pPr>
              <w:pStyle w:val="TableContents"/>
              <w:bidi w:val="0"/>
              <w:spacing w:before="0" w:after="283"/>
              <w:jc w:val="left"/>
              <w:rPr/>
            </w:pPr>
            <w:hyperlink w:anchor="f1_about">
              <w:r>
                <w:rPr>
                  <w:rStyle w:val="InternetLink"/>
                </w:rPr>
                <w:t>About this Prospectus</w:t>
              </w:r>
            </w:hyperlink>
          </w:p>
        </w:tc>
        <w:tc>
          <w:tcPr>
            <w:tcW w:w="455" w:type="dxa"/>
            <w:tcBorders/>
            <w:shd w:fill="FFFFFF" w:val="clear"/>
            <w:vAlign w:val="center"/>
          </w:tcPr>
          <w:p>
            <w:pPr>
              <w:pStyle w:val="TableContents"/>
              <w:bidi w:val="0"/>
              <w:spacing w:before="0" w:after="283"/>
              <w:jc w:val="center"/>
              <w:rPr/>
            </w:pPr>
            <w:r>
              <w:rPr/>
              <w:t>1</w:t>
            </w:r>
          </w:p>
        </w:tc>
      </w:tr>
      <w:tr>
        <w:trPr/>
        <w:tc>
          <w:tcPr>
            <w:tcW w:w="7370" w:type="dxa"/>
            <w:tcBorders/>
            <w:shd w:fill="EEEEEE" w:val="clear"/>
            <w:vAlign w:val="center"/>
          </w:tcPr>
          <w:p>
            <w:pPr>
              <w:pStyle w:val="TableContents"/>
              <w:bidi w:val="0"/>
              <w:spacing w:before="0" w:after="283"/>
              <w:jc w:val="left"/>
              <w:rPr/>
            </w:pPr>
            <w:hyperlink w:anchor="f1_market">
              <w:r>
                <w:rPr>
                  <w:rStyle w:val="InternetLink"/>
                </w:rPr>
                <w:t>Trademarks, Service Marks and Trade Names</w:t>
              </w:r>
            </w:hyperlink>
          </w:p>
        </w:tc>
        <w:tc>
          <w:tcPr>
            <w:tcW w:w="455" w:type="dxa"/>
            <w:tcBorders/>
            <w:shd w:fill="EEEEEE" w:val="clear"/>
            <w:vAlign w:val="center"/>
          </w:tcPr>
          <w:p>
            <w:pPr>
              <w:pStyle w:val="TableContents"/>
              <w:bidi w:val="0"/>
              <w:spacing w:before="0" w:after="283"/>
              <w:jc w:val="center"/>
              <w:rPr/>
            </w:pPr>
            <w:r>
              <w:rPr/>
              <w:t>2</w:t>
            </w:r>
          </w:p>
        </w:tc>
      </w:tr>
      <w:tr>
        <w:trPr/>
        <w:tc>
          <w:tcPr>
            <w:tcW w:w="7370" w:type="dxa"/>
            <w:tcBorders/>
            <w:shd w:fill="FFFFFF" w:val="clear"/>
            <w:vAlign w:val="center"/>
          </w:tcPr>
          <w:p>
            <w:pPr>
              <w:pStyle w:val="TableContents"/>
              <w:bidi w:val="0"/>
              <w:spacing w:before="0" w:after="283"/>
              <w:jc w:val="left"/>
              <w:rPr/>
            </w:pPr>
            <w:hyperlink w:anchor="f1_market">
              <w:r>
                <w:rPr>
                  <w:rStyle w:val="InternetLink"/>
                </w:rPr>
                <w:t>Market, Industry and Other Data</w:t>
              </w:r>
            </w:hyperlink>
          </w:p>
        </w:tc>
        <w:tc>
          <w:tcPr>
            <w:tcW w:w="455" w:type="dxa"/>
            <w:tcBorders/>
            <w:shd w:fill="FFFFFF" w:val="clear"/>
            <w:vAlign w:val="center"/>
          </w:tcPr>
          <w:p>
            <w:pPr>
              <w:pStyle w:val="TableContents"/>
              <w:bidi w:val="0"/>
              <w:spacing w:before="0" w:after="283"/>
              <w:jc w:val="center"/>
              <w:rPr/>
            </w:pPr>
            <w:r>
              <w:rPr/>
              <w:t>2</w:t>
            </w:r>
          </w:p>
        </w:tc>
      </w:tr>
      <w:tr>
        <w:trPr/>
        <w:tc>
          <w:tcPr>
            <w:tcW w:w="7370" w:type="dxa"/>
            <w:tcBorders/>
            <w:shd w:fill="EEEEEE" w:val="clear"/>
            <w:vAlign w:val="center"/>
          </w:tcPr>
          <w:p>
            <w:pPr>
              <w:pStyle w:val="TableContents"/>
              <w:bidi w:val="0"/>
              <w:spacing w:before="0" w:after="283"/>
              <w:jc w:val="left"/>
              <w:rPr/>
            </w:pPr>
            <w:hyperlink w:anchor="f1_001">
              <w:r>
                <w:rPr>
                  <w:rStyle w:val="InternetLink"/>
                  <w:sz w:val="20"/>
                </w:rPr>
                <w:t>Prospectus Summary</w:t>
              </w:r>
            </w:hyperlink>
          </w:p>
        </w:tc>
        <w:tc>
          <w:tcPr>
            <w:tcW w:w="455" w:type="dxa"/>
            <w:tcBorders/>
            <w:shd w:fill="EEEEEE" w:val="clear"/>
            <w:vAlign w:val="center"/>
          </w:tcPr>
          <w:p>
            <w:pPr>
              <w:pStyle w:val="TableContents"/>
              <w:bidi w:val="0"/>
              <w:spacing w:before="0" w:after="283"/>
              <w:jc w:val="center"/>
              <w:rPr>
                <w:sz w:val="20"/>
              </w:rPr>
            </w:pPr>
            <w:r>
              <w:rPr>
                <w:sz w:val="20"/>
              </w:rPr>
              <w:t>3</w:t>
            </w:r>
          </w:p>
        </w:tc>
      </w:tr>
      <w:tr>
        <w:trPr/>
        <w:tc>
          <w:tcPr>
            <w:tcW w:w="7370" w:type="dxa"/>
            <w:tcBorders/>
            <w:shd w:fill="FFFFFF" w:val="clear"/>
            <w:vAlign w:val="center"/>
          </w:tcPr>
          <w:p>
            <w:pPr>
              <w:pStyle w:val="TableContents"/>
              <w:bidi w:val="0"/>
              <w:spacing w:before="0" w:after="283"/>
              <w:jc w:val="left"/>
              <w:rPr/>
            </w:pPr>
            <w:hyperlink w:anchor="f1_002">
              <w:r>
                <w:rPr>
                  <w:rStyle w:val="InternetLink"/>
                  <w:sz w:val="20"/>
                </w:rPr>
                <w:t>Risk Factors</w:t>
              </w:r>
            </w:hyperlink>
          </w:p>
        </w:tc>
        <w:tc>
          <w:tcPr>
            <w:tcW w:w="455" w:type="dxa"/>
            <w:tcBorders/>
            <w:shd w:fill="FFFFFF" w:val="clear"/>
            <w:vAlign w:val="center"/>
          </w:tcPr>
          <w:p>
            <w:pPr>
              <w:pStyle w:val="TableContents"/>
              <w:bidi w:val="0"/>
              <w:spacing w:before="0" w:after="283"/>
              <w:jc w:val="center"/>
              <w:rPr>
                <w:sz w:val="20"/>
              </w:rPr>
            </w:pPr>
            <w:r>
              <w:rPr>
                <w:sz w:val="20"/>
              </w:rPr>
              <w:t>14</w:t>
            </w:r>
          </w:p>
        </w:tc>
      </w:tr>
      <w:tr>
        <w:trPr/>
        <w:tc>
          <w:tcPr>
            <w:tcW w:w="7370" w:type="dxa"/>
            <w:tcBorders/>
            <w:shd w:fill="EEEEEE" w:val="clear"/>
            <w:vAlign w:val="center"/>
          </w:tcPr>
          <w:p>
            <w:pPr>
              <w:pStyle w:val="TableContents"/>
              <w:bidi w:val="0"/>
              <w:spacing w:before="0" w:after="283"/>
              <w:jc w:val="left"/>
              <w:rPr/>
            </w:pPr>
            <w:hyperlink w:anchor="f1_004">
              <w:r>
                <w:rPr>
                  <w:rStyle w:val="InternetLink"/>
                </w:rPr>
                <w:t>Use of Proceeds</w:t>
              </w:r>
            </w:hyperlink>
          </w:p>
        </w:tc>
        <w:tc>
          <w:tcPr>
            <w:tcW w:w="455" w:type="dxa"/>
            <w:tcBorders/>
            <w:shd w:fill="EEEEEE" w:val="clear"/>
            <w:vAlign w:val="center"/>
          </w:tcPr>
          <w:p>
            <w:pPr>
              <w:pStyle w:val="TableContents"/>
              <w:bidi w:val="0"/>
              <w:spacing w:before="0" w:after="283"/>
              <w:jc w:val="center"/>
              <w:rPr/>
            </w:pPr>
            <w:r>
              <w:rPr/>
              <w:t>33</w:t>
            </w:r>
          </w:p>
        </w:tc>
      </w:tr>
      <w:tr>
        <w:trPr/>
        <w:tc>
          <w:tcPr>
            <w:tcW w:w="7370" w:type="dxa"/>
            <w:tcBorders/>
            <w:shd w:fill="FFFFFF" w:val="clear"/>
            <w:vAlign w:val="center"/>
          </w:tcPr>
          <w:p>
            <w:pPr>
              <w:pStyle w:val="TableContents"/>
              <w:bidi w:val="0"/>
              <w:spacing w:before="0" w:after="283"/>
              <w:jc w:val="left"/>
              <w:rPr/>
            </w:pPr>
            <w:hyperlink w:anchor="f1_005">
              <w:r>
                <w:rPr>
                  <w:rStyle w:val="InternetLink"/>
                </w:rPr>
                <w:t>Expenses of Issuance and Distribution</w:t>
              </w:r>
            </w:hyperlink>
          </w:p>
        </w:tc>
        <w:tc>
          <w:tcPr>
            <w:tcW w:w="455" w:type="dxa"/>
            <w:tcBorders/>
            <w:shd w:fill="FFFFFF" w:val="clear"/>
            <w:vAlign w:val="center"/>
          </w:tcPr>
          <w:p>
            <w:pPr>
              <w:pStyle w:val="TableContents"/>
              <w:bidi w:val="0"/>
              <w:spacing w:before="0" w:after="283"/>
              <w:jc w:val="center"/>
              <w:rPr/>
            </w:pPr>
            <w:r>
              <w:rPr/>
              <w:t>33</w:t>
            </w:r>
          </w:p>
        </w:tc>
      </w:tr>
      <w:tr>
        <w:trPr/>
        <w:tc>
          <w:tcPr>
            <w:tcW w:w="7370" w:type="dxa"/>
            <w:tcBorders/>
            <w:shd w:fill="EEEEEE" w:val="clear"/>
            <w:vAlign w:val="center"/>
          </w:tcPr>
          <w:p>
            <w:pPr>
              <w:pStyle w:val="TableContents"/>
              <w:bidi w:val="0"/>
              <w:spacing w:before="0" w:after="283"/>
              <w:jc w:val="left"/>
              <w:rPr/>
            </w:pPr>
            <w:hyperlink w:anchor="f1_006">
              <w:r>
                <w:rPr>
                  <w:rStyle w:val="InternetLink"/>
                  <w:sz w:val="20"/>
                </w:rPr>
                <w:t>Dividend Policy</w:t>
              </w:r>
            </w:hyperlink>
          </w:p>
        </w:tc>
        <w:tc>
          <w:tcPr>
            <w:tcW w:w="455" w:type="dxa"/>
            <w:tcBorders/>
            <w:shd w:fill="EEEEEE" w:val="clear"/>
            <w:vAlign w:val="center"/>
          </w:tcPr>
          <w:p>
            <w:pPr>
              <w:pStyle w:val="TableContents"/>
              <w:bidi w:val="0"/>
              <w:spacing w:before="0" w:after="283"/>
              <w:jc w:val="center"/>
              <w:rPr/>
            </w:pPr>
            <w:r>
              <w:rPr/>
              <w:t>33</w:t>
            </w:r>
          </w:p>
        </w:tc>
      </w:tr>
      <w:tr>
        <w:trPr/>
        <w:tc>
          <w:tcPr>
            <w:tcW w:w="7370" w:type="dxa"/>
            <w:tcBorders/>
            <w:shd w:fill="FFFFFF" w:val="clear"/>
            <w:vAlign w:val="center"/>
          </w:tcPr>
          <w:p>
            <w:pPr>
              <w:pStyle w:val="TableContents"/>
              <w:bidi w:val="0"/>
              <w:spacing w:before="0" w:after="283"/>
              <w:jc w:val="left"/>
              <w:rPr/>
            </w:pPr>
            <w:hyperlink w:anchor="f1_007">
              <w:r>
                <w:rPr>
                  <w:rStyle w:val="InternetLink"/>
                  <w:sz w:val="20"/>
                </w:rPr>
                <w:t>Capitalization</w:t>
              </w:r>
            </w:hyperlink>
          </w:p>
        </w:tc>
        <w:tc>
          <w:tcPr>
            <w:tcW w:w="455" w:type="dxa"/>
            <w:tcBorders/>
            <w:shd w:fill="FFFFFF" w:val="clear"/>
            <w:vAlign w:val="center"/>
          </w:tcPr>
          <w:p>
            <w:pPr>
              <w:pStyle w:val="TableContents"/>
              <w:bidi w:val="0"/>
              <w:spacing w:before="0" w:after="283"/>
              <w:jc w:val="center"/>
              <w:rPr/>
            </w:pPr>
            <w:r>
              <w:rPr/>
              <w:t>34</w:t>
            </w:r>
          </w:p>
        </w:tc>
      </w:tr>
      <w:tr>
        <w:trPr/>
        <w:tc>
          <w:tcPr>
            <w:tcW w:w="7370" w:type="dxa"/>
            <w:tcBorders/>
            <w:shd w:fill="EEEEEE" w:val="clear"/>
            <w:vAlign w:val="center"/>
          </w:tcPr>
          <w:p>
            <w:pPr>
              <w:pStyle w:val="TableContents"/>
              <w:bidi w:val="0"/>
              <w:spacing w:before="0" w:after="283"/>
              <w:jc w:val="left"/>
              <w:rPr/>
            </w:pPr>
            <w:hyperlink w:anchor="f1_008">
              <w:r>
                <w:rPr>
                  <w:rStyle w:val="InternetLink"/>
                  <w:sz w:val="20"/>
                </w:rPr>
                <w:t>Dilution</w:t>
              </w:r>
            </w:hyperlink>
          </w:p>
        </w:tc>
        <w:tc>
          <w:tcPr>
            <w:tcW w:w="455" w:type="dxa"/>
            <w:tcBorders/>
            <w:shd w:fill="EEEEEE" w:val="clear"/>
            <w:vAlign w:val="center"/>
          </w:tcPr>
          <w:p>
            <w:pPr>
              <w:pStyle w:val="TableContents"/>
              <w:bidi w:val="0"/>
              <w:spacing w:before="0" w:after="283"/>
              <w:jc w:val="center"/>
              <w:rPr/>
            </w:pPr>
            <w:r>
              <w:rPr/>
              <w:t>36</w:t>
            </w:r>
          </w:p>
        </w:tc>
      </w:tr>
      <w:tr>
        <w:trPr/>
        <w:tc>
          <w:tcPr>
            <w:tcW w:w="7370" w:type="dxa"/>
            <w:tcBorders/>
            <w:shd w:fill="FFFFFF" w:val="clear"/>
            <w:vAlign w:val="center"/>
          </w:tcPr>
          <w:p>
            <w:pPr>
              <w:pStyle w:val="TableContents"/>
              <w:bidi w:val="0"/>
              <w:spacing w:before="0" w:after="283"/>
              <w:jc w:val="left"/>
              <w:rPr/>
            </w:pPr>
            <w:hyperlink w:anchor="f1_009">
              <w:r>
                <w:rPr>
                  <w:rStyle w:val="InternetLink"/>
                  <w:sz w:val="20"/>
                </w:rPr>
                <w:t>Exchange Rate Information</w:t>
              </w:r>
            </w:hyperlink>
          </w:p>
        </w:tc>
        <w:tc>
          <w:tcPr>
            <w:tcW w:w="455" w:type="dxa"/>
            <w:tcBorders/>
            <w:shd w:fill="FFFFFF" w:val="clear"/>
            <w:vAlign w:val="center"/>
          </w:tcPr>
          <w:p>
            <w:pPr>
              <w:pStyle w:val="TableContents"/>
              <w:bidi w:val="0"/>
              <w:spacing w:before="0" w:after="283"/>
              <w:jc w:val="center"/>
              <w:rPr/>
            </w:pPr>
            <w:r>
              <w:rPr/>
              <w:t>36</w:t>
            </w:r>
          </w:p>
        </w:tc>
      </w:tr>
      <w:tr>
        <w:trPr/>
        <w:tc>
          <w:tcPr>
            <w:tcW w:w="7370" w:type="dxa"/>
            <w:tcBorders/>
            <w:shd w:fill="EEEEEE" w:val="clear"/>
            <w:vAlign w:val="center"/>
          </w:tcPr>
          <w:p>
            <w:pPr>
              <w:pStyle w:val="TableContents"/>
              <w:bidi w:val="0"/>
              <w:spacing w:before="0" w:after="283"/>
              <w:jc w:val="left"/>
              <w:rPr/>
            </w:pPr>
            <w:hyperlink w:anchor="f1_010">
              <w:r>
                <w:rPr>
                  <w:rStyle w:val="InternetLink"/>
                  <w:sz w:val="20"/>
                </w:rPr>
                <w:t>Corporate History and Structure</w:t>
              </w:r>
            </w:hyperlink>
          </w:p>
        </w:tc>
        <w:tc>
          <w:tcPr>
            <w:tcW w:w="455" w:type="dxa"/>
            <w:tcBorders/>
            <w:shd w:fill="EEEEEE" w:val="clear"/>
            <w:vAlign w:val="center"/>
          </w:tcPr>
          <w:p>
            <w:pPr>
              <w:pStyle w:val="TableContents"/>
              <w:bidi w:val="0"/>
              <w:spacing w:before="0" w:after="283"/>
              <w:jc w:val="center"/>
              <w:rPr/>
            </w:pPr>
            <w:r>
              <w:rPr/>
              <w:t>37</w:t>
            </w:r>
          </w:p>
        </w:tc>
      </w:tr>
      <w:tr>
        <w:trPr/>
        <w:tc>
          <w:tcPr>
            <w:tcW w:w="7370" w:type="dxa"/>
            <w:tcBorders/>
            <w:shd w:fill="FFFFFF" w:val="clear"/>
            <w:vAlign w:val="center"/>
          </w:tcPr>
          <w:p>
            <w:pPr>
              <w:pStyle w:val="TableContents"/>
              <w:bidi w:val="0"/>
              <w:spacing w:before="0" w:after="283"/>
              <w:jc w:val="left"/>
              <w:rPr/>
            </w:pPr>
            <w:hyperlink w:anchor="selected">
              <w:r>
                <w:rPr>
                  <w:rStyle w:val="InternetLink"/>
                </w:rPr>
                <w:t>Selected Consolidated Financial Information</w:t>
              </w:r>
            </w:hyperlink>
          </w:p>
        </w:tc>
        <w:tc>
          <w:tcPr>
            <w:tcW w:w="455" w:type="dxa"/>
            <w:tcBorders/>
            <w:shd w:fill="FFFFFF" w:val="clear"/>
            <w:vAlign w:val="center"/>
          </w:tcPr>
          <w:p>
            <w:pPr>
              <w:pStyle w:val="TableContents"/>
              <w:bidi w:val="0"/>
              <w:spacing w:before="0" w:after="283"/>
              <w:jc w:val="center"/>
              <w:rPr/>
            </w:pPr>
            <w:r>
              <w:rPr/>
              <w:t>39</w:t>
            </w:r>
          </w:p>
        </w:tc>
      </w:tr>
      <w:tr>
        <w:trPr/>
        <w:tc>
          <w:tcPr>
            <w:tcW w:w="7370" w:type="dxa"/>
            <w:tcBorders/>
            <w:shd w:fill="EEEEEE" w:val="clear"/>
            <w:vAlign w:val="center"/>
          </w:tcPr>
          <w:p>
            <w:pPr>
              <w:pStyle w:val="TableContents"/>
              <w:bidi w:val="0"/>
              <w:spacing w:before="0" w:after="283"/>
              <w:jc w:val="left"/>
              <w:rPr/>
            </w:pPr>
            <w:hyperlink w:anchor="f1_012">
              <w:r>
                <w:rPr>
                  <w:rStyle w:val="InternetLink"/>
                  <w:sz w:val="20"/>
                </w:rPr>
                <w:t>Management’s Discussion and Analysis of Financial Conditions and Results of Operations</w:t>
              </w:r>
            </w:hyperlink>
          </w:p>
        </w:tc>
        <w:tc>
          <w:tcPr>
            <w:tcW w:w="455" w:type="dxa"/>
            <w:tcBorders/>
            <w:shd w:fill="EEEEEE" w:val="clear"/>
            <w:vAlign w:val="center"/>
          </w:tcPr>
          <w:p>
            <w:pPr>
              <w:pStyle w:val="TableContents"/>
              <w:bidi w:val="0"/>
              <w:spacing w:before="0" w:after="283"/>
              <w:jc w:val="center"/>
              <w:rPr>
                <w:sz w:val="20"/>
              </w:rPr>
            </w:pPr>
            <w:r>
              <w:rPr>
                <w:sz w:val="20"/>
              </w:rPr>
              <w:t>41</w:t>
            </w:r>
          </w:p>
        </w:tc>
      </w:tr>
      <w:tr>
        <w:trPr/>
        <w:tc>
          <w:tcPr>
            <w:tcW w:w="7370" w:type="dxa"/>
            <w:tcBorders/>
            <w:shd w:fill="FFFFFF" w:val="clear"/>
            <w:vAlign w:val="center"/>
          </w:tcPr>
          <w:p>
            <w:pPr>
              <w:pStyle w:val="TableContents"/>
              <w:bidi w:val="0"/>
              <w:spacing w:before="0" w:after="283"/>
              <w:jc w:val="left"/>
              <w:rPr/>
            </w:pPr>
            <w:hyperlink w:anchor="f1_013">
              <w:r>
                <w:rPr>
                  <w:rStyle w:val="InternetLink"/>
                  <w:sz w:val="20"/>
                </w:rPr>
                <w:t>Business</w:t>
              </w:r>
            </w:hyperlink>
          </w:p>
        </w:tc>
        <w:tc>
          <w:tcPr>
            <w:tcW w:w="455" w:type="dxa"/>
            <w:tcBorders/>
            <w:shd w:fill="FFFFFF" w:val="clear"/>
            <w:vAlign w:val="center"/>
          </w:tcPr>
          <w:p>
            <w:pPr>
              <w:pStyle w:val="TableContents"/>
              <w:bidi w:val="0"/>
              <w:spacing w:before="0" w:after="283"/>
              <w:jc w:val="center"/>
              <w:rPr>
                <w:sz w:val="20"/>
              </w:rPr>
            </w:pPr>
            <w:r>
              <w:rPr>
                <w:sz w:val="20"/>
              </w:rPr>
              <w:t>52</w:t>
            </w:r>
          </w:p>
        </w:tc>
      </w:tr>
      <w:tr>
        <w:trPr/>
        <w:tc>
          <w:tcPr>
            <w:tcW w:w="7370" w:type="dxa"/>
            <w:tcBorders/>
            <w:shd w:fill="EEEEEE" w:val="clear"/>
            <w:vAlign w:val="center"/>
          </w:tcPr>
          <w:p>
            <w:pPr>
              <w:pStyle w:val="TableContents"/>
              <w:bidi w:val="0"/>
              <w:spacing w:before="0" w:after="283"/>
              <w:jc w:val="left"/>
              <w:rPr/>
            </w:pPr>
            <w:hyperlink w:anchor="f1_014">
              <w:r>
                <w:rPr>
                  <w:rStyle w:val="InternetLink"/>
                  <w:sz w:val="20"/>
                </w:rPr>
                <w:t>Management</w:t>
              </w:r>
            </w:hyperlink>
          </w:p>
        </w:tc>
        <w:tc>
          <w:tcPr>
            <w:tcW w:w="455" w:type="dxa"/>
            <w:tcBorders/>
            <w:shd w:fill="EEEEEE" w:val="clear"/>
            <w:vAlign w:val="center"/>
          </w:tcPr>
          <w:p>
            <w:pPr>
              <w:pStyle w:val="TableContents"/>
              <w:bidi w:val="0"/>
              <w:spacing w:before="0" w:after="283"/>
              <w:jc w:val="center"/>
              <w:rPr>
                <w:sz w:val="20"/>
              </w:rPr>
            </w:pPr>
            <w:r>
              <w:rPr>
                <w:sz w:val="20"/>
              </w:rPr>
              <w:t>69</w:t>
            </w:r>
          </w:p>
        </w:tc>
      </w:tr>
      <w:tr>
        <w:trPr/>
        <w:tc>
          <w:tcPr>
            <w:tcW w:w="7370" w:type="dxa"/>
            <w:tcBorders/>
            <w:shd w:fill="FFFFFF" w:val="clear"/>
            <w:vAlign w:val="center"/>
          </w:tcPr>
          <w:p>
            <w:pPr>
              <w:pStyle w:val="TableContents"/>
              <w:bidi w:val="0"/>
              <w:spacing w:before="0" w:after="283"/>
              <w:jc w:val="left"/>
              <w:rPr/>
            </w:pPr>
            <w:hyperlink w:anchor="f1_015">
              <w:r>
                <w:rPr>
                  <w:rStyle w:val="InternetLink"/>
                  <w:sz w:val="20"/>
                </w:rPr>
                <w:t>Principal Shareholders</w:t>
              </w:r>
            </w:hyperlink>
          </w:p>
        </w:tc>
        <w:tc>
          <w:tcPr>
            <w:tcW w:w="455" w:type="dxa"/>
            <w:tcBorders/>
            <w:shd w:fill="FFFFFF" w:val="clear"/>
            <w:vAlign w:val="center"/>
          </w:tcPr>
          <w:p>
            <w:pPr>
              <w:pStyle w:val="TableContents"/>
              <w:bidi w:val="0"/>
              <w:spacing w:before="0" w:after="283"/>
              <w:jc w:val="center"/>
              <w:rPr/>
            </w:pPr>
            <w:r>
              <w:rPr/>
              <w:t>77</w:t>
            </w:r>
          </w:p>
        </w:tc>
      </w:tr>
      <w:tr>
        <w:trPr/>
        <w:tc>
          <w:tcPr>
            <w:tcW w:w="7370" w:type="dxa"/>
            <w:tcBorders/>
            <w:shd w:fill="EEEEEE" w:val="clear"/>
            <w:vAlign w:val="center"/>
          </w:tcPr>
          <w:p>
            <w:pPr>
              <w:pStyle w:val="TableContents"/>
              <w:bidi w:val="0"/>
              <w:spacing w:before="0" w:after="283"/>
              <w:jc w:val="left"/>
              <w:rPr/>
            </w:pPr>
            <w:hyperlink w:anchor="f1_016">
              <w:r>
                <w:rPr>
                  <w:rStyle w:val="InternetLink"/>
                  <w:sz w:val="20"/>
                </w:rPr>
                <w:t>Related Party Transactions</w:t>
              </w:r>
            </w:hyperlink>
          </w:p>
        </w:tc>
        <w:tc>
          <w:tcPr>
            <w:tcW w:w="455" w:type="dxa"/>
            <w:tcBorders/>
            <w:shd w:fill="EEEEEE" w:val="clear"/>
            <w:vAlign w:val="center"/>
          </w:tcPr>
          <w:p>
            <w:pPr>
              <w:pStyle w:val="TableContents"/>
              <w:bidi w:val="0"/>
              <w:spacing w:before="0" w:after="283"/>
              <w:jc w:val="center"/>
              <w:rPr/>
            </w:pPr>
            <w:r>
              <w:rPr/>
              <w:t>78</w:t>
            </w:r>
          </w:p>
        </w:tc>
      </w:tr>
      <w:tr>
        <w:trPr/>
        <w:tc>
          <w:tcPr>
            <w:tcW w:w="7370" w:type="dxa"/>
            <w:tcBorders/>
            <w:shd w:fill="FFFFFF" w:val="clear"/>
            <w:vAlign w:val="center"/>
          </w:tcPr>
          <w:p>
            <w:pPr>
              <w:pStyle w:val="TableContents"/>
              <w:bidi w:val="0"/>
              <w:spacing w:before="0" w:after="283"/>
              <w:jc w:val="left"/>
              <w:rPr/>
            </w:pPr>
            <w:hyperlink w:anchor="f1_017">
              <w:r>
                <w:rPr>
                  <w:rStyle w:val="InternetLink"/>
                  <w:sz w:val="20"/>
                </w:rPr>
                <w:t>Description of Share Capital</w:t>
              </w:r>
            </w:hyperlink>
          </w:p>
        </w:tc>
        <w:tc>
          <w:tcPr>
            <w:tcW w:w="455" w:type="dxa"/>
            <w:tcBorders/>
            <w:shd w:fill="FFFFFF" w:val="clear"/>
            <w:vAlign w:val="center"/>
          </w:tcPr>
          <w:p>
            <w:pPr>
              <w:pStyle w:val="TableContents"/>
              <w:bidi w:val="0"/>
              <w:spacing w:before="0" w:after="283"/>
              <w:jc w:val="center"/>
              <w:rPr/>
            </w:pPr>
            <w:r>
              <w:rPr/>
              <w:t>79</w:t>
            </w:r>
          </w:p>
        </w:tc>
      </w:tr>
      <w:tr>
        <w:trPr/>
        <w:tc>
          <w:tcPr>
            <w:tcW w:w="7370" w:type="dxa"/>
            <w:tcBorders/>
            <w:shd w:fill="EEEEEE" w:val="clear"/>
            <w:vAlign w:val="center"/>
          </w:tcPr>
          <w:p>
            <w:pPr>
              <w:pStyle w:val="TableContents"/>
              <w:bidi w:val="0"/>
              <w:spacing w:before="0" w:after="283"/>
              <w:jc w:val="left"/>
              <w:rPr/>
            </w:pPr>
            <w:hyperlink w:anchor="f1_018">
              <w:r>
                <w:rPr>
                  <w:rStyle w:val="InternetLink"/>
                  <w:sz w:val="20"/>
                </w:rPr>
                <w:t>Shares Eligible for Future Sale</w:t>
              </w:r>
            </w:hyperlink>
          </w:p>
        </w:tc>
        <w:tc>
          <w:tcPr>
            <w:tcW w:w="455" w:type="dxa"/>
            <w:tcBorders/>
            <w:shd w:fill="EEEEEE" w:val="clear"/>
            <w:vAlign w:val="center"/>
          </w:tcPr>
          <w:p>
            <w:pPr>
              <w:pStyle w:val="TableContents"/>
              <w:bidi w:val="0"/>
              <w:spacing w:before="0" w:after="283"/>
              <w:jc w:val="center"/>
              <w:rPr/>
            </w:pPr>
            <w:r>
              <w:rPr/>
              <w:t>82</w:t>
            </w:r>
          </w:p>
        </w:tc>
      </w:tr>
      <w:tr>
        <w:trPr/>
        <w:tc>
          <w:tcPr>
            <w:tcW w:w="7370" w:type="dxa"/>
            <w:tcBorders/>
            <w:shd w:fill="FFFFFF" w:val="clear"/>
            <w:vAlign w:val="center"/>
          </w:tcPr>
          <w:p>
            <w:pPr>
              <w:pStyle w:val="TableContents"/>
              <w:bidi w:val="0"/>
              <w:spacing w:before="0" w:after="283"/>
              <w:jc w:val="left"/>
              <w:rPr/>
            </w:pPr>
            <w:hyperlink w:anchor="f1a1_050">
              <w:r>
                <w:rPr>
                  <w:rStyle w:val="InternetLink"/>
                </w:rPr>
                <w:t>Registered Shareholders</w:t>
              </w:r>
            </w:hyperlink>
          </w:p>
        </w:tc>
        <w:tc>
          <w:tcPr>
            <w:tcW w:w="455" w:type="dxa"/>
            <w:tcBorders/>
            <w:shd w:fill="FFFFFF" w:val="clear"/>
            <w:vAlign w:val="center"/>
          </w:tcPr>
          <w:p>
            <w:pPr>
              <w:pStyle w:val="TableContents"/>
              <w:bidi w:val="0"/>
              <w:spacing w:before="0" w:after="283"/>
              <w:jc w:val="center"/>
              <w:rPr/>
            </w:pPr>
            <w:r>
              <w:rPr/>
              <w:t>84</w:t>
            </w:r>
          </w:p>
        </w:tc>
      </w:tr>
      <w:tr>
        <w:trPr/>
        <w:tc>
          <w:tcPr>
            <w:tcW w:w="7370" w:type="dxa"/>
            <w:tcBorders/>
            <w:shd w:fill="EEEEEE" w:val="clear"/>
            <w:vAlign w:val="center"/>
          </w:tcPr>
          <w:p>
            <w:pPr>
              <w:pStyle w:val="TableContents"/>
              <w:bidi w:val="0"/>
              <w:spacing w:before="0" w:after="283"/>
              <w:jc w:val="left"/>
              <w:rPr/>
            </w:pPr>
            <w:hyperlink w:anchor="f1_019">
              <w:r>
                <w:rPr>
                  <w:rStyle w:val="InternetLink"/>
                  <w:sz w:val="20"/>
                </w:rPr>
                <w:t>Taxation</w:t>
              </w:r>
            </w:hyperlink>
          </w:p>
        </w:tc>
        <w:tc>
          <w:tcPr>
            <w:tcW w:w="455" w:type="dxa"/>
            <w:tcBorders/>
            <w:shd w:fill="EEEEEE" w:val="clear"/>
            <w:vAlign w:val="center"/>
          </w:tcPr>
          <w:p>
            <w:pPr>
              <w:pStyle w:val="TableContents"/>
              <w:bidi w:val="0"/>
              <w:spacing w:before="0" w:after="283"/>
              <w:jc w:val="center"/>
              <w:rPr/>
            </w:pPr>
            <w:r>
              <w:rPr/>
              <w:t>85</w:t>
            </w:r>
          </w:p>
        </w:tc>
      </w:tr>
      <w:tr>
        <w:trPr/>
        <w:tc>
          <w:tcPr>
            <w:tcW w:w="7370" w:type="dxa"/>
            <w:tcBorders/>
            <w:shd w:fill="FFFFFF" w:val="clear"/>
            <w:vAlign w:val="center"/>
          </w:tcPr>
          <w:p>
            <w:pPr>
              <w:pStyle w:val="TableContents"/>
              <w:bidi w:val="0"/>
              <w:spacing w:before="0" w:after="283"/>
              <w:jc w:val="left"/>
              <w:rPr/>
            </w:pPr>
            <w:hyperlink w:anchor="f1_019">
              <w:r>
                <w:rPr>
                  <w:rStyle w:val="InternetLink"/>
                </w:rPr>
                <w:t>Direct Listing Overview</w:t>
              </w:r>
            </w:hyperlink>
          </w:p>
        </w:tc>
        <w:tc>
          <w:tcPr>
            <w:tcW w:w="455" w:type="dxa"/>
            <w:tcBorders/>
            <w:shd w:fill="FFFFFF" w:val="clear"/>
            <w:vAlign w:val="center"/>
          </w:tcPr>
          <w:p>
            <w:pPr>
              <w:pStyle w:val="TableContents"/>
              <w:bidi w:val="0"/>
              <w:spacing w:before="0" w:after="283"/>
              <w:jc w:val="center"/>
              <w:rPr/>
            </w:pPr>
            <w:r>
              <w:rPr/>
              <w:t>89</w:t>
            </w:r>
          </w:p>
        </w:tc>
      </w:tr>
      <w:tr>
        <w:trPr/>
        <w:tc>
          <w:tcPr>
            <w:tcW w:w="7370" w:type="dxa"/>
            <w:tcBorders/>
            <w:shd w:fill="EEEEEE" w:val="clear"/>
            <w:vAlign w:val="center"/>
          </w:tcPr>
          <w:p>
            <w:pPr>
              <w:pStyle w:val="TableContents"/>
              <w:bidi w:val="0"/>
              <w:spacing w:before="0" w:after="283"/>
              <w:jc w:val="left"/>
              <w:rPr/>
            </w:pPr>
            <w:hyperlink w:anchor="f1_020">
              <w:r>
                <w:rPr>
                  <w:rStyle w:val="InternetLink"/>
                  <w:sz w:val="20"/>
                </w:rPr>
                <w:t>Plan of Distribution</w:t>
              </w:r>
            </w:hyperlink>
          </w:p>
        </w:tc>
        <w:tc>
          <w:tcPr>
            <w:tcW w:w="455" w:type="dxa"/>
            <w:tcBorders/>
            <w:shd w:fill="EEEEEE" w:val="clear"/>
            <w:vAlign w:val="center"/>
          </w:tcPr>
          <w:p>
            <w:pPr>
              <w:pStyle w:val="TableContents"/>
              <w:bidi w:val="0"/>
              <w:spacing w:before="0" w:after="283"/>
              <w:jc w:val="center"/>
              <w:rPr/>
            </w:pPr>
            <w:r>
              <w:rPr/>
              <w:t>90</w:t>
            </w:r>
          </w:p>
        </w:tc>
      </w:tr>
      <w:tr>
        <w:trPr/>
        <w:tc>
          <w:tcPr>
            <w:tcW w:w="7370" w:type="dxa"/>
            <w:tcBorders/>
            <w:shd w:fill="FFFFFF" w:val="clear"/>
            <w:vAlign w:val="center"/>
          </w:tcPr>
          <w:p>
            <w:pPr>
              <w:pStyle w:val="TableContents"/>
              <w:bidi w:val="0"/>
              <w:spacing w:before="0" w:after="283"/>
              <w:jc w:val="left"/>
              <w:rPr/>
            </w:pPr>
            <w:hyperlink w:anchor="pos_007">
              <w:r>
                <w:rPr>
                  <w:rStyle w:val="InternetLink"/>
                </w:rPr>
                <w:t>Not an Offering; No Solicitation of Shareholder Sales</w:t>
              </w:r>
            </w:hyperlink>
          </w:p>
        </w:tc>
        <w:tc>
          <w:tcPr>
            <w:tcW w:w="455" w:type="dxa"/>
            <w:tcBorders/>
            <w:shd w:fill="FFFFFF" w:val="clear"/>
            <w:vAlign w:val="center"/>
          </w:tcPr>
          <w:p>
            <w:pPr>
              <w:pStyle w:val="TableContents"/>
              <w:bidi w:val="0"/>
              <w:spacing w:before="0" w:after="283"/>
              <w:jc w:val="center"/>
              <w:rPr/>
            </w:pPr>
            <w:r>
              <w:rPr/>
              <w:t>91</w:t>
            </w:r>
          </w:p>
        </w:tc>
      </w:tr>
      <w:tr>
        <w:trPr/>
        <w:tc>
          <w:tcPr>
            <w:tcW w:w="7370" w:type="dxa"/>
            <w:tcBorders/>
            <w:shd w:fill="EEEEEE" w:val="clear"/>
            <w:vAlign w:val="center"/>
          </w:tcPr>
          <w:p>
            <w:pPr>
              <w:pStyle w:val="TableContents"/>
              <w:bidi w:val="0"/>
              <w:spacing w:before="0" w:after="283"/>
              <w:jc w:val="left"/>
              <w:rPr/>
            </w:pPr>
            <w:hyperlink w:anchor="pos_80">
              <w:r>
                <w:rPr>
                  <w:rStyle w:val="InternetLink"/>
                </w:rPr>
                <w:t>Reference Price Determination</w:t>
              </w:r>
            </w:hyperlink>
          </w:p>
        </w:tc>
        <w:tc>
          <w:tcPr>
            <w:tcW w:w="455" w:type="dxa"/>
            <w:tcBorders/>
            <w:shd w:fill="EEEEEE" w:val="clear"/>
            <w:vAlign w:val="center"/>
          </w:tcPr>
          <w:p>
            <w:pPr>
              <w:pStyle w:val="TableContents"/>
              <w:bidi w:val="0"/>
              <w:spacing w:before="0" w:after="283"/>
              <w:jc w:val="center"/>
              <w:rPr/>
            </w:pPr>
            <w:r>
              <w:rPr/>
              <w:t>93</w:t>
            </w:r>
          </w:p>
        </w:tc>
      </w:tr>
      <w:tr>
        <w:trPr/>
        <w:tc>
          <w:tcPr>
            <w:tcW w:w="7370" w:type="dxa"/>
            <w:tcBorders/>
            <w:shd w:fill="FFFFFF" w:val="clear"/>
            <w:vAlign w:val="center"/>
          </w:tcPr>
          <w:p>
            <w:pPr>
              <w:pStyle w:val="TableContents"/>
              <w:bidi w:val="0"/>
              <w:spacing w:before="0" w:after="283"/>
              <w:jc w:val="left"/>
              <w:rPr/>
            </w:pPr>
            <w:hyperlink w:anchor="f1_020">
              <w:r>
                <w:rPr>
                  <w:rStyle w:val="InternetLink"/>
                </w:rPr>
                <w:t>Roles of the Corporate Advisor, Lead Market Maker and Financial Advisor</w:t>
              </w:r>
            </w:hyperlink>
          </w:p>
        </w:tc>
        <w:tc>
          <w:tcPr>
            <w:tcW w:w="455" w:type="dxa"/>
            <w:tcBorders/>
            <w:shd w:fill="FFFFFF" w:val="clear"/>
            <w:vAlign w:val="center"/>
          </w:tcPr>
          <w:p>
            <w:pPr>
              <w:pStyle w:val="TableContents"/>
              <w:bidi w:val="0"/>
              <w:spacing w:before="0" w:after="283"/>
              <w:jc w:val="center"/>
              <w:rPr/>
            </w:pPr>
            <w:r>
              <w:rPr/>
              <w:t>102</w:t>
            </w:r>
          </w:p>
        </w:tc>
      </w:tr>
      <w:tr>
        <w:trPr/>
        <w:tc>
          <w:tcPr>
            <w:tcW w:w="7370" w:type="dxa"/>
            <w:tcBorders/>
            <w:shd w:fill="EEEEEE" w:val="clear"/>
            <w:vAlign w:val="center"/>
          </w:tcPr>
          <w:p>
            <w:pPr>
              <w:pStyle w:val="TableContents"/>
              <w:bidi w:val="0"/>
              <w:spacing w:before="0" w:after="283"/>
              <w:jc w:val="left"/>
              <w:rPr/>
            </w:pPr>
            <w:hyperlink w:anchor="pos_81">
              <w:r>
                <w:rPr>
                  <w:rStyle w:val="InternetLink"/>
                </w:rPr>
                <w:t>How Registered Shareholders May Sell Shares Following Our Direct Listing</w:t>
              </w:r>
            </w:hyperlink>
          </w:p>
        </w:tc>
        <w:tc>
          <w:tcPr>
            <w:tcW w:w="455" w:type="dxa"/>
            <w:tcBorders/>
            <w:shd w:fill="EEEEEE" w:val="clear"/>
            <w:vAlign w:val="center"/>
          </w:tcPr>
          <w:p>
            <w:pPr>
              <w:pStyle w:val="TableContents"/>
              <w:bidi w:val="0"/>
              <w:spacing w:before="0" w:after="283"/>
              <w:jc w:val="center"/>
              <w:rPr/>
            </w:pPr>
            <w:r>
              <w:rPr/>
              <w:t>103</w:t>
            </w:r>
          </w:p>
        </w:tc>
      </w:tr>
      <w:tr>
        <w:trPr/>
        <w:tc>
          <w:tcPr>
            <w:tcW w:w="7370" w:type="dxa"/>
            <w:tcBorders/>
            <w:shd w:fill="FFFFFF" w:val="clear"/>
            <w:vAlign w:val="center"/>
          </w:tcPr>
          <w:p>
            <w:pPr>
              <w:pStyle w:val="TableContents"/>
              <w:bidi w:val="0"/>
              <w:spacing w:before="0" w:after="283"/>
              <w:jc w:val="left"/>
              <w:rPr/>
            </w:pPr>
            <w:hyperlink w:anchor="f1_021">
              <w:r>
                <w:rPr>
                  <w:rStyle w:val="InternetLink"/>
                  <w:sz w:val="20"/>
                </w:rPr>
                <w:t>Legal Matters</w:t>
              </w:r>
            </w:hyperlink>
          </w:p>
        </w:tc>
        <w:tc>
          <w:tcPr>
            <w:tcW w:w="455" w:type="dxa"/>
            <w:tcBorders/>
            <w:shd w:fill="FFFFFF" w:val="clear"/>
            <w:vAlign w:val="center"/>
          </w:tcPr>
          <w:p>
            <w:pPr>
              <w:pStyle w:val="TableContents"/>
              <w:bidi w:val="0"/>
              <w:spacing w:before="0" w:after="283"/>
              <w:jc w:val="center"/>
              <w:rPr/>
            </w:pPr>
            <w:r>
              <w:rPr/>
              <w:t>106</w:t>
            </w:r>
          </w:p>
        </w:tc>
      </w:tr>
      <w:tr>
        <w:trPr/>
        <w:tc>
          <w:tcPr>
            <w:tcW w:w="7370" w:type="dxa"/>
            <w:tcBorders/>
            <w:shd w:fill="EEEEEE" w:val="clear"/>
            <w:vAlign w:val="center"/>
          </w:tcPr>
          <w:p>
            <w:pPr>
              <w:pStyle w:val="TableContents"/>
              <w:bidi w:val="0"/>
              <w:spacing w:before="0" w:after="283"/>
              <w:jc w:val="left"/>
              <w:rPr/>
            </w:pPr>
            <w:hyperlink w:anchor="f1_022">
              <w:r>
                <w:rPr>
                  <w:rStyle w:val="InternetLink"/>
                  <w:sz w:val="20"/>
                </w:rPr>
                <w:t>Experts</w:t>
              </w:r>
            </w:hyperlink>
          </w:p>
        </w:tc>
        <w:tc>
          <w:tcPr>
            <w:tcW w:w="455" w:type="dxa"/>
            <w:tcBorders/>
            <w:shd w:fill="EEEEEE" w:val="clear"/>
            <w:vAlign w:val="center"/>
          </w:tcPr>
          <w:p>
            <w:pPr>
              <w:pStyle w:val="TableContents"/>
              <w:bidi w:val="0"/>
              <w:spacing w:before="0" w:after="283"/>
              <w:jc w:val="center"/>
              <w:rPr/>
            </w:pPr>
            <w:r>
              <w:rPr/>
              <w:t>107</w:t>
            </w:r>
          </w:p>
        </w:tc>
      </w:tr>
      <w:tr>
        <w:trPr/>
        <w:tc>
          <w:tcPr>
            <w:tcW w:w="7370" w:type="dxa"/>
            <w:tcBorders/>
            <w:shd w:fill="FFFFFF" w:val="clear"/>
            <w:vAlign w:val="center"/>
          </w:tcPr>
          <w:p>
            <w:pPr>
              <w:pStyle w:val="TableContents"/>
              <w:bidi w:val="0"/>
              <w:spacing w:before="0" w:after="283"/>
              <w:jc w:val="left"/>
              <w:rPr/>
            </w:pPr>
            <w:hyperlink w:anchor="f1_023">
              <w:r>
                <w:rPr>
                  <w:rStyle w:val="InternetLink"/>
                  <w:sz w:val="20"/>
                </w:rPr>
                <w:t>Where You Can Find Additional Information</w:t>
              </w:r>
            </w:hyperlink>
          </w:p>
        </w:tc>
        <w:tc>
          <w:tcPr>
            <w:tcW w:w="455" w:type="dxa"/>
            <w:tcBorders/>
            <w:shd w:fill="FFFFFF" w:val="clear"/>
            <w:vAlign w:val="center"/>
          </w:tcPr>
          <w:p>
            <w:pPr>
              <w:pStyle w:val="TableContents"/>
              <w:bidi w:val="0"/>
              <w:spacing w:before="0" w:after="283"/>
              <w:jc w:val="center"/>
              <w:rPr/>
            </w:pPr>
            <w:r>
              <w:rPr/>
              <w:t>107</w:t>
            </w:r>
          </w:p>
        </w:tc>
      </w:tr>
      <w:tr>
        <w:trPr/>
        <w:tc>
          <w:tcPr>
            <w:tcW w:w="7370" w:type="dxa"/>
            <w:tcBorders/>
            <w:shd w:fill="EEEEEE" w:val="clear"/>
            <w:vAlign w:val="center"/>
          </w:tcPr>
          <w:p>
            <w:pPr>
              <w:pStyle w:val="TableContents"/>
              <w:bidi w:val="0"/>
              <w:spacing w:before="0" w:after="283"/>
              <w:jc w:val="left"/>
              <w:rPr/>
            </w:pPr>
            <w:hyperlink w:anchor="f1_024">
              <w:r>
                <w:rPr>
                  <w:rStyle w:val="InternetLink"/>
                  <w:sz w:val="20"/>
                </w:rPr>
                <w:t>Index to Consolidated Financial Statements</w:t>
              </w:r>
            </w:hyperlink>
          </w:p>
        </w:tc>
        <w:tc>
          <w:tcPr>
            <w:tcW w:w="455" w:type="dxa"/>
            <w:tcBorders/>
            <w:shd w:fill="EEEEEE" w:val="clear"/>
            <w:vAlign w:val="center"/>
          </w:tcPr>
          <w:p>
            <w:pPr>
              <w:pStyle w:val="TableContents"/>
              <w:bidi w:val="0"/>
              <w:spacing w:before="0" w:after="283"/>
              <w:jc w:val="center"/>
              <w:rPr/>
            </w:pPr>
            <w:r>
              <w:rPr/>
              <w:t>108</w:t>
            </w:r>
          </w:p>
        </w:tc>
      </w:tr>
      <w:tr>
        <w:trPr/>
        <w:tc>
          <w:tcPr>
            <w:tcW w:w="7370" w:type="dxa"/>
            <w:tcBorders/>
            <w:shd w:fill="FFFFFF" w:val="clear"/>
            <w:vAlign w:val="center"/>
          </w:tcPr>
          <w:p>
            <w:pPr>
              <w:pStyle w:val="TableContents"/>
              <w:bidi w:val="0"/>
              <w:spacing w:before="0" w:after="283"/>
              <w:jc w:val="left"/>
              <w:rPr/>
            </w:pPr>
            <w:hyperlink w:anchor="fs">
              <w:r>
                <w:rPr>
                  <w:rStyle w:val="InternetLink"/>
                  <w:sz w:val="20"/>
                </w:rPr>
                <w:t>Consolidated Financial Statements</w:t>
              </w:r>
            </w:hyperlink>
          </w:p>
        </w:tc>
        <w:tc>
          <w:tcPr>
            <w:tcW w:w="455" w:type="dxa"/>
            <w:tcBorders/>
            <w:shd w:fill="FFFFFF" w:val="clear"/>
            <w:vAlign w:val="center"/>
          </w:tcPr>
          <w:p>
            <w:pPr>
              <w:pStyle w:val="TableContents"/>
              <w:bidi w:val="0"/>
              <w:spacing w:before="0" w:after="283"/>
              <w:jc w:val="center"/>
              <w:rPr/>
            </w:pPr>
            <w:r>
              <w:rPr/>
              <w:t>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or contained in any free writing prospectus filed with the Securities and Exchange Commission. Neither we nor any of the Registered Shareholders have authorised anyone to provide any information different from, or in addition to, the information contained in this prospectus and in any free writing prospectuses we have prepared or that have been prepared on our behalf or to which we have referred you. Neither we nor any of the Registered Shareholders take responsibility for, and can provide no assurance as to the reliability of, any other information that others may give you. The Registered Shareholders are offering to sell, and seeking offers to buy, shares of their Ordinary Shares only under the circumstances and in jurisdictions where it is lawful to do so. The information contained in this prospectus is current only as of its date, regardless of the time of delivery of this prospectus or of any sale of our Ordinary Shares. Our business, financial condition, results of operations and prospects may have changed since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 outside the United States: Neither we nor any of the Registered Shareholders have done anything that would permit the use of or possession or distribution of this prospectus or any related free writing prospectus in any jurisdiction where action for that purpose is required, other than in the United States. Persons outside the United States who come into possession of this prospectus must inform themselves about, and observe any restrictions relating to, the offering of our Ordinary Shares by the Registered Shareholders and the distribution of this prospectus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f1_about"/>
      <w:bookmarkEnd w:id="23"/>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This prospectus is a part of a registration statement on Form F-1 (the “Registration Statement”) that we filed with the Securities and Exchange Commission (the “SEC”) using a “shelf” registration or continuous offering process. Under this shelf process, the Registered Shareholders may from time to time sell the Ordinary Shares covered by this prospectus in the manner described in “</w:t>
      </w:r>
      <w:hyperlink w:anchor="f1_02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Additionally, we may provide a prospectus supplement to add information to, or update or change information contained in this prospectus, including the “Plan of Distribution.” You should read this prospectus before deciding to invest in our Ordinary Shares. You may obtain this information without charge by following the instructions under “</w:t>
      </w:r>
      <w:hyperlink w:anchor="f1_023">
        <w:r>
          <w:rPr>
            <w:rStyle w:val="InternetLink"/>
            <w:rFonts w:ascii="Times New Roman;Times;Serif" w:hAnsi="Times New Roman;Times;Serif"/>
            <w:b w:val="false"/>
            <w:i w:val="false"/>
            <w:caps w:val="false"/>
            <w:smallCaps w:val="false"/>
            <w:sz w:val="20"/>
          </w:rPr>
          <w:t>Where You Can Find Additional Information</w:t>
        </w:r>
      </w:hyperlink>
      <w:r>
        <w:rPr>
          <w:rFonts w:ascii="Times New Roman;Times;Serif" w:hAnsi="Times New Roman;Times;Serif"/>
          <w:b w:val="false"/>
          <w:i w:val="false"/>
          <w:caps w:val="false"/>
          <w:smallCaps w:val="false"/>
          <w:sz w:val="20"/>
        </w:rPr>
        <w:t>” appearing elsewhere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f1_003"/>
      <w:bookmarkEnd w:id="24"/>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This prospectus contains forward-looking statements that reflect our current expectations and views of future events. The forward-looking statements are contained principally in the sections entitled “</w:t>
      </w:r>
      <w:hyperlink w:anchor="f1_001">
        <w:r>
          <w:rPr>
            <w:rStyle w:val="InternetLink"/>
            <w:rFonts w:ascii="Times New Roman;Times;Serif" w:hAnsi="Times New Roman;Times;Serif"/>
            <w:b w:val="false"/>
            <w:i w:val="false"/>
            <w:caps w:val="false"/>
            <w:smallCaps w:val="false"/>
            <w:sz w:val="20"/>
          </w:rPr>
          <w:t>Prospectus Summary,</w:t>
        </w:r>
      </w:hyperlink>
      <w:r>
        <w:rPr>
          <w:rFonts w:ascii="Times New Roman;Times;Serif" w:hAnsi="Times New Roman;Times;Serif"/>
          <w:b w:val="false"/>
          <w:i w:val="false"/>
          <w:caps w:val="false"/>
          <w:smallCaps w:val="false"/>
          <w:sz w:val="20"/>
        </w:rPr>
        <w:t>” “</w:t>
      </w:r>
      <w:hyperlink w:anchor="f1_002">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w:t>
      </w:r>
      <w:hyperlink w:anchor="f1_012">
        <w:r>
          <w:rPr>
            <w:rStyle w:val="InternetLink"/>
            <w:rFonts w:ascii="Times New Roman;Times;Serif" w:hAnsi="Times New Roman;Times;Serif"/>
            <w:b w:val="false"/>
            <w:i w:val="false"/>
            <w:caps w:val="false"/>
            <w:smallCaps w:val="false"/>
            <w:sz w:val="20"/>
          </w:rPr>
          <w:t>Management’s Discussion and Analysis of Consolidated Financial Condition and Results of Operations</w:t>
        </w:r>
      </w:hyperlink>
      <w:r>
        <w:rPr>
          <w:rFonts w:ascii="Times New Roman;Times;Serif" w:hAnsi="Times New Roman;Times;Serif"/>
          <w:b w:val="false"/>
          <w:i w:val="false"/>
          <w:caps w:val="false"/>
          <w:smallCaps w:val="false"/>
          <w:sz w:val="20"/>
        </w:rPr>
        <w:t>” and “</w:t>
      </w:r>
      <w:hyperlink w:anchor="f1_013">
        <w:r>
          <w:rPr>
            <w:rStyle w:val="InternetLink"/>
            <w:rFonts w:ascii="Times New Roman;Times;Serif" w:hAnsi="Times New Roman;Times;Serif"/>
            <w:b w:val="false"/>
            <w:i w:val="false"/>
            <w:caps w:val="false"/>
            <w:smallCaps w:val="false"/>
            <w:sz w:val="20"/>
          </w:rPr>
          <w:t>Business.</w:t>
        </w:r>
      </w:hyperlink>
      <w:r>
        <w:rPr>
          <w:rFonts w:ascii="Times New Roman;Times;Serif" w:hAnsi="Times New Roman;Times;Serif"/>
          <w:b w:val="false"/>
          <w:i w:val="false"/>
          <w:caps w:val="false"/>
          <w:smallCaps w:val="false"/>
          <w:sz w:val="20"/>
        </w:rPr>
        <w:t>” Known and unknown risks, uncertainties and other factors, including those listed under “</w:t>
      </w:r>
      <w:hyperlink w:anchor="f1_002">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may cause our actual results, performance or achievements to be materially different from those expressed or implied by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our goals and strategies;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our future business development, financial condition and results of operations;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the expected growth of our product sales or revenues generated from our licensee;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our expectations regarding demand for and market acceptance of our products and services;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 xml:space="preserve">our expectations regarding our relationships with customers, contract manufacturers, component suppliers, third-party service providers, strategic partners and other stakeholders;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competition in our industry;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w:t>
      </w:r>
      <w:hyperlink w:anchor="f1_001">
        <w:r>
          <w:rPr>
            <w:rStyle w:val="InternetLink"/>
            <w:rFonts w:ascii="Times New Roman;Times;Serif" w:hAnsi="Times New Roman;Times;Serif"/>
            <w:b w:val="false"/>
            <w:i w:val="false"/>
            <w:caps w:val="false"/>
            <w:smallCaps w:val="false"/>
            <w:sz w:val="20"/>
          </w:rPr>
          <w:t>Prospectus Summary</w:t>
        </w:r>
      </w:hyperlink>
      <w:r>
        <w:rPr>
          <w:rFonts w:ascii="Times New Roman;Times;Serif" w:hAnsi="Times New Roman;Times;Serif"/>
          <w:b w:val="false"/>
          <w:i w:val="false"/>
          <w:caps w:val="false"/>
          <w:smallCaps w:val="false"/>
          <w:sz w:val="20"/>
        </w:rPr>
        <w:t>—Our Challenges,” “</w:t>
      </w:r>
      <w:hyperlink w:anchor="f1_002">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w:t>
      </w:r>
      <w:hyperlink w:anchor="f1_012">
        <w:r>
          <w:rPr>
            <w:rStyle w:val="InternetLink"/>
            <w:rFonts w:ascii="Times New Roman;Times;Serif" w:hAnsi="Times New Roman;Times;Serif"/>
            <w:b w:val="false"/>
            <w:i w:val="false"/>
            <w:caps w:val="false"/>
            <w:smallCaps w:val="false"/>
            <w:sz w:val="20"/>
          </w:rPr>
          <w:t>Management’s Discussion and Analysis of Consolidated Financial Condition and Results of Operations,</w:t>
        </w:r>
      </w:hyperlink>
      <w:r>
        <w:rPr>
          <w:rFonts w:ascii="Times New Roman;Times;Serif" w:hAnsi="Times New Roman;Times;Serif"/>
          <w:b w:val="false"/>
          <w:i w:val="false"/>
          <w:caps w:val="false"/>
          <w:smallCaps w:val="false"/>
          <w:sz w:val="20"/>
        </w:rPr>
        <w:t>” “</w:t>
      </w:r>
      <w:hyperlink w:anchor="f1_013">
        <w:r>
          <w:rPr>
            <w:rStyle w:val="InternetLink"/>
            <w:rFonts w:ascii="Times New Roman;Times;Serif" w:hAnsi="Times New Roman;Times;Serif"/>
            <w:b w:val="false"/>
            <w:i w:val="false"/>
            <w:caps w:val="false"/>
            <w:smallCaps w:val="false"/>
            <w:sz w:val="20"/>
          </w:rPr>
          <w:t>Business</w:t>
        </w:r>
      </w:hyperlink>
      <w:r>
        <w:rPr>
          <w:rFonts w:ascii="Times New Roman;Times;Serif" w:hAnsi="Times New Roman;Times;Serif"/>
          <w:b w:val="false"/>
          <w:i w:val="false"/>
          <w:caps w:val="false"/>
          <w:smallCaps w:val="false"/>
          <w:sz w:val="20"/>
        </w:rPr>
        <w:t>”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certain data and information that we obtained from various government and private publications. Statistical data in these publications also include projections based on a number of assumptions. The industry and demand for our products may not grow at the rate projected by market data, or at all. Failure of this market to grow at the projected rate may have a material and adverse effect on our business and the market price of our Ordinary Shares. In addition, the rapidly evolving nature of the Class I medical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f1_trade"/>
      <w:bookmarkEnd w:id="25"/>
      <w:r>
        <w:rPr>
          <w:rFonts w:ascii="Times New Roman;Times;Serif" w:hAnsi="Times New Roman;Times;Serif"/>
          <w:b/>
          <w:i w:val="false"/>
          <w:caps w:val="false"/>
          <w:smallCaps w:val="false"/>
          <w:sz w:val="20"/>
        </w:rPr>
        <w:t>TRADEMARKS, SERVICE MARKS AND TRADE NAMES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Davion”, “D”, “BreastCheck”, “FootFlow”, “Testic”, “ThermaDerm” and other trademarks or service marks of Davion appearing in this prospectus are the property of Davion Healthcare Plc or its subsidiaries. Solely for convenience, some of the trademarks, service marks, logos and trade names referred to in this prospectus are presented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an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f1_market"/>
      <w:bookmarkEnd w:id="26"/>
      <w:r>
        <w:rPr>
          <w:rFonts w:ascii="Times New Roman;Times;Serif" w:hAnsi="Times New Roman;Times;Serif"/>
          <w:b/>
          <w:i w:val="false"/>
          <w:caps w:val="false"/>
          <w:smallCaps w:val="false"/>
          <w:sz w:val="20"/>
        </w:rPr>
        <w:t>MARKET, INDUSTRY AND OTHER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None of the reports or studies cited in this prospectus were commissioned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7"/>
        <w:jc w:val="both"/>
        <w:rPr/>
      </w:pPr>
      <w:r>
        <w:rPr>
          <w:rFonts w:ascii="Times New Roman;Times;Serif" w:hAnsi="Times New Roman;Times;Serif"/>
          <w:b w:val="false"/>
          <w:i w:val="false"/>
          <w:caps w:val="false"/>
          <w:smallCaps w:val="false"/>
          <w:sz w:val="20"/>
        </w:rPr>
        <w:t>In addition, assumptions and estimates of our and our industry’s future performance are necessarily subject to a high degree of uncertainty and risk due to a variety of factors, including those described in “</w:t>
      </w:r>
      <w:hyperlink w:anchor="f1_002">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These and other factors could cause our future performance to differ materially from our assumptions and estimates. See “</w:t>
      </w:r>
      <w:hyperlink w:anchor="f1_003">
        <w:r>
          <w:rPr>
            <w:rStyle w:val="InternetLink"/>
            <w:rFonts w:ascii="Times New Roman;Times;Serif" w:hAnsi="Times New Roman;Times;Serif"/>
            <w:b w:val="false"/>
            <w:i w:val="false"/>
            <w:caps w:val="false"/>
            <w:smallCaps w:val="false"/>
            <w:sz w:val="20"/>
          </w:rPr>
          <w:t>Special Note Regarding Forward-Looking Statements.</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f1_001"/>
      <w:bookmarkEnd w:id="27"/>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is qualified in its entirety by, and should be read in conjunction with, the more detailed information and consolidated financial statements appearing elsewhere in this prospectus. In addition to this summary, we urge you to read the entire prospectus carefully. Unless the context otherwise requires, references in this prospectus to the “Company,” “Davion,” “we,” “us,” “our” and other similar designations refer to Davion Healthcare Plc and its consolidated subsidiary.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Listing; Exchange-Controlled Commencement of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seek the commencement of trading of its Ordinary Shares through a direct listing on a national securities exchange. The Company will not sell any Ordinary Shares in connection with the commencement of trading and will not receive any proceeds from any sales of Ordinary Shares by existing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of trading, the determination of the opening price, and the timing of such commencement will be determined exclusively by the applicable exchange in accordance with its rules and procedures. The Company does not participate in the opening auction and does not engage in price-setting, order collection, or price discovery.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and Listing Requirements</w:t>
      </w:r>
    </w:p>
    <w:p>
      <w:pPr>
        <w:pStyle w:val="TextBody"/>
        <w:bidi w:val="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to list our Ordinary Shares on The Nasdaq Global Market under the symbol “DAVI.” The approval of our listing is subject to our satisfaction of all applicable initial listing requirements of The Nasdaq Stock Market LLC (“Nasdaq”) and the completion of Nasdaq’s standard review and approval procedures.</w:t>
      </w:r>
    </w:p>
    <w:p>
      <w:pPr>
        <w:pStyle w:val="TextBody"/>
        <w:bidi w:val="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listing requirements applicable to The Nasdaq Global Market include, among other things:</w:t>
      </w:r>
    </w:p>
    <w:p>
      <w:pPr>
        <w:pStyle w:val="TextBody"/>
        <w:bidi w:val="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25"/>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minimum number of publicly held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minimum number of round-lot shareholders;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sufficient public float;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satisfaction of market value requirements applicable to direct listings;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adherence to corporate governance standards, including board and committee composition;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compliance with disclosure requirements relating to the direct listing process.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satisfy, or will satisfy prior to the commencement of trading, all applicable quantitative and qualitative initial listing requirements of The Nasdaq Global Market. However, Nasdaq retains broad discretion with respect to the application of its listing criteria, and there can be no assurance that our Ordinary Shares will be approved for listing.</w:t>
      </w:r>
    </w:p>
    <w:p>
      <w:pPr>
        <w:pStyle w:val="TextBody"/>
        <w:bidi w:val="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will permit our Ordinary Shares to begin trading only after:</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1.</w:t>
            </w:r>
          </w:p>
        </w:tc>
        <w:tc>
          <w:tcPr>
            <w:tcW w:w="9987" w:type="dxa"/>
            <w:tcBorders/>
            <w:vAlign w:val="center"/>
          </w:tcPr>
          <w:p>
            <w:pPr>
              <w:pStyle w:val="TableContents"/>
              <w:bidi w:val="0"/>
              <w:spacing w:before="0" w:after="283"/>
              <w:jc w:val="both"/>
              <w:rPr/>
            </w:pPr>
            <w:r>
              <w:rPr/>
              <w:t>the SEC has declared our registration statement effective – Declared effective on November 28,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2.</w:t>
            </w:r>
          </w:p>
        </w:tc>
        <w:tc>
          <w:tcPr>
            <w:tcW w:w="9987" w:type="dxa"/>
            <w:tcBorders/>
            <w:vAlign w:val="center"/>
          </w:tcPr>
          <w:p>
            <w:pPr>
              <w:pStyle w:val="TableContents"/>
              <w:bidi w:val="0"/>
              <w:spacing w:before="0" w:after="283"/>
              <w:jc w:val="both"/>
              <w:rPr/>
            </w:pPr>
            <w:r>
              <w:rPr/>
              <w:t>Nasdaq has completed its listing review,</w:t>
            </w:r>
          </w:p>
        </w:tc>
      </w:tr>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3.</w:t>
            </w:r>
          </w:p>
        </w:tc>
        <w:tc>
          <w:tcPr>
            <w:tcW w:w="9987" w:type="dxa"/>
            <w:tcBorders/>
            <w:vAlign w:val="center"/>
          </w:tcPr>
          <w:p>
            <w:pPr>
              <w:pStyle w:val="TableContents"/>
              <w:bidi w:val="0"/>
              <w:spacing w:before="0" w:after="283"/>
              <w:jc w:val="both"/>
              <w:rPr/>
            </w:pPr>
            <w:r>
              <w:rPr/>
              <w:t>Nasdaq has determined that we meet its initial listing requirements,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4.</w:t>
            </w:r>
          </w:p>
        </w:tc>
        <w:tc>
          <w:tcPr>
            <w:tcW w:w="9987" w:type="dxa"/>
            <w:tcBorders/>
            <w:vAlign w:val="center"/>
          </w:tcPr>
          <w:p>
            <w:pPr>
              <w:pStyle w:val="TableContents"/>
              <w:bidi w:val="0"/>
              <w:spacing w:before="0" w:after="283"/>
              <w:jc w:val="both"/>
              <w:rPr/>
            </w:pPr>
            <w:r>
              <w:rPr/>
              <w:t>Nasdaq has conducted the opening auction, including determining the reference price and matching buy and sell interest in accordance with its rules.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meeting Nasdaq’s initial listing requirements applicable to a direct listing, the Company provided Nasdaq with valuation materials in accordance with Nasdaq Listing Rule IM-5315-1. These materials included materials prepared by the Company, supporting third-party valuation materials prepared for the Company, and evidence of recent private transactions in the Company’s Ordinary Shares.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particular, the Company provided Nasdaq with information regarding approximately 215 private, off-market transactions in its Ordinary Shares conducted by an existing shareholder during the three-month period preceding Nasdaq’s review. These transactions were conducted on a negotiated, private basis between shareholders and third-party investors and are not indicative of the price at which the Company’s Ordinary Shares will trade in a public market and were executed at prices of approximately $11.00 per share, including transactions originally denominated in euro and converted into U.S. dollars. These transactions were presented to Nasdaq as evidence of recent market-based pricing.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review of the valuation materials provided by the Company, including the recent private transaction data, and in accordance with its listing rules, Nasdaq has indicated to the Company that, for listing qualification purposes only, it is using a qualification price of $12.36 per share.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$12.36 per share qualification price:</w:t>
      </w:r>
    </w:p>
    <w:p>
      <w:pPr>
        <w:pStyle w:val="TextBody"/>
        <w:bidi w:val="0"/>
        <w:spacing w:before="0" w:after="0"/>
        <w:ind w:left="0" w:right="0" w:firstLine="3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is used solely by Nasdaq for purposes of assessing compliance with its initial listing requirements;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does not represent an offering price, reference price, or market price; and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should not be viewed as an indication of the price at which the Company’s Ordinary Shares will trade upon commencement of trading. </w:t>
            </w:r>
          </w:p>
        </w:tc>
      </w:tr>
    </w:tbl>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did not prepare an independent valuation report and based its qualification price determination on its review of valuation materials provided by the Company in accordance with its listing rules.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previously referenced an expected opening price of $12.00 per share for internal listing analysis purposes, and should not be relied upon for any investment decision. Nasdaq’s qualification price of $12.36 per share is a separate listing-assessment reference based on Nasdaq’s review of valuation materials provided by the Company in accordance with its listing rules, and should not be viewed as a prediction of the price at which the Company’s Ordinary Shares will trade when listed. Although Nasdaq has indicated to the Company this qualification price, the listing of the Company’s Ordinary Shares remains subject to Nasdaq’s final review and approval and to continued satisfaction of all applicable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Ordinary Shares are approved for listing, trading is expected to commence on the Nasdaq Global Market under the symbol “</w:t>
      </w:r>
      <w:r>
        <w:rPr>
          <w:rFonts w:ascii="Times New Roman;Times;Serif" w:hAnsi="Times New Roman;Times;Serif"/>
          <w:b/>
          <w:i w:val="false"/>
          <w:caps w:val="false"/>
          <w:smallCaps w:val="false"/>
          <w:sz w:val="20"/>
        </w:rPr>
        <w:t>DAVI</w:t>
      </w:r>
      <w:r>
        <w:rPr>
          <w:rFonts w:ascii="Times New Roman;Times;Serif" w:hAnsi="Times New Roman;Times;Serif"/>
          <w:b w:val="false"/>
          <w:i w:val="false"/>
          <w:caps w:val="false"/>
          <w:smallCaps w:val="false"/>
          <w:sz w:val="20"/>
        </w:rPr>
        <w:t>” on the date of our direct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Effectiveness and Exchange Approval Are Separate Determinations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registration statement under the Securities Act of 1933, as amended, does not imply that any securities exchange has approved or will approve the listing or commencement of trading of our Ordinary Shares. Approval to list, and the timing and conditions of the commencement of trading, are separate determinations made exclusively by the applicable securities exchange pursuant to its own rules, procedures and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Price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price stabilization activities are expected to be undertaken in connection with this direct listing by the Company, nor any selling shareholder, nor our corporate advisor, or financial advisor, nor the designated market maker.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an Offering; No Solicitation of Shareholder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constitute an offer of securities by the Company. This direct listing does not involve a primary offering by the Company. The Company will not receive any proceeds from the sale of shares by Registered Shareholders. We are not asking any shareholder to sell shares, and we are not recommending, encouraging, soliciting, or advising any shareholder with respect to the resale of Ordinary Shares. All decisions regarding whether, when, and how many shares to sell are made solely by each selling shareholder, independently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Listing Process Overview (Summary 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pursuing a direct listing of our Ordinary Shares on The Nasdaq Global Market. In a direct listing, the Company does not issue new shares. This direct listing does not involve a firm commitment underwriting, and there is no bookbuilding or price-stabilization activity. Instead, our existing shareholders may sell their Ordinary Shares on a continuous basis after our Ordinary Shares begin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will determine the reference price for our Ordinary Shares in accordance with its rules using available market data and order book information. This reference price is not an offering price and may differ materially from the opening trading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trading price will be established by Nasdaq’s automated opening auction, which matches aggregated buy and sell interest submitted by market participants. The Company does not participate in the opening auction, and neither we nor our corporate advisor, or financial advisor, nor our designated market maker determine or control the opening price.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that may become available for trading on the first day cannot be predicted, as selling decisions are made solely by our existing shareholders. Certain shareholders holding more than 1,000 Ordinary Shares have voluntarily agreed to orderly market sale limitations, although participation is voluntary and not universal.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direct listing does not involve a firm commitment underwriting, the opening price and subsequent trading prices may be volatile and may not reflect the value of our business. We will not receive any proceeds from the resale of shares by selling shareholders.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is an Irish Public Limited Company focused on the development and commercialization of non-invasive home tests for the early indication of potential anomalies. Our home tests are non-diagnostic, focusing on early indication of potential anomalies, for which if identified, further clinical tests outside of the scope of our products would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asset comprises intellectual property relating to its portfolio of non-invasive medical device technologies, including BreastCheck, FootFlow, Testic and ThermaDerm. The Company believes that its intellectual property portfolio forms the foundation of its long-term commercial strategy through product development, planned direct manufacturing/distribution and regional third-party manufacturers/distributors and future commercialization.</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consolidated financial statements included in this Registration Statement, the accounting treatment of the February 2023 transfer of intellectual property has been restated. The intellectual property is recognised at its predecessor carrying amount in accordance with the accounting treatment adopted in these financial statements and is amortised on a straight-line basis over an estimated useful economic life of ten years commencing on 6 February 2023.</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2023 transaction formed part of a single common-control transaction in which control over the intellectual property did not change before or after the transaction. Accordingly, no acquisition accounting or fair value measurement was applied. The carrying amount of the intellectual property recognised in the consolidated financial statements represents an accounting carrying value determined in accordance with the applicable accounting standards adopted for these financial statements and should not be regarded as an indication of the current market value, commercial value or potential future economic value of the Company's intellectual property portfolio.</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value of the Company's intellectual property is dependent upon a number of factors, including successful product development, regulatory registrations and approvals where applicable, market acceptance, planned direct manufacturing/distribution and regional third-party manufacturers/distributors, licensing arrangements, commercial execution, future revenues and broader market conditions. Valuation methodologies commonly applied to intellectual property, including income, market and cost-based approaches, require significant judgement and the use of assumptions that may differ materially from actual future outcomes.</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remaining useful economic life of its intellectual property at each reporting date and recognises amortisation over its estimated useful life. The Company also assesses the intellectual property for impairment whenever events or changes in circumstances indicate that the carrying amount may not be recoverable. Any future impairment or revision to the estimated useful life could materially affect the Company's results of operations and financial position.</w:t>
      </w:r>
    </w:p>
    <w:p>
      <w:pPr>
        <w:pStyle w:val="TextBody"/>
        <w:bidi w:val="0"/>
        <w:ind w:left="0" w:right="0" w:firstLine="426"/>
        <w:jc w:val="both"/>
        <w:rPr>
          <w:caps w:val="false"/>
          <w:smallCaps w:val="false"/>
        </w:rPr>
      </w:pPr>
      <w:r>
        <w:rPr>
          <w:caps w:val="false"/>
          <w:smallCaps w:val="false"/>
        </w:rPr>
        <w:t> </w:t>
      </w:r>
    </w:p>
    <w:p>
      <w:pPr>
        <w:pStyle w:val="TextBody"/>
        <w:bidi w:val="0"/>
        <w:ind w:left="0" w:right="0" w:firstLine="42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accounting treatment relates solely to the accounting measurement applied to the February 2023 transfer of intellectual property for financial reporting purposes. It does not affect the legal ownership of the intellectual property, the validity of the underlying transaction documentation, the Company's commercial rights, planned direct manufacturing/distribution and regional third-party manufacturers/distributors arrangements or strategy for commercialising its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four non-invasive home tests completed, namely, BreastCheck, FootFlow, Testic, and ThermaDerm. Our flagship product, BreastCheck, will be the first product to be launched in the second half of 2026. BreastCheck is a non-invasive home test designed to detect temperature anomalies in breast tissue or other health conditions. The second product to be launched will be FootFlow, which is a home test for diabetics to monitor blood flow in feet and hands, for which poor circulation as a result of diabetes can lead to fingers and toes being amputated if poor blood circulation goes unchecked. The third product to be launched will be Testic. Testic is a home test for testicular anomalies. Testic works in a similar way to BreastCheck, by monitoring testicular temperature. Our fourth home test is ThermaDerm. ThermaDerm monitors skin temperature across various locations on the body to identify potential temperature changes which appear abnormal compared to other similar locations to help identify potential anomalies. None of the Company’s home tests are diagnostic. They provide early warning of potential anomalies, for which further clinical investigation would be required in order for a diagnosis to be provided. The Company’s broad suite of non-invasive home testing kits help provide targeted additional health indicators for early indication of potential anomalies, prevention, and wellness monitoring.</w:t>
      </w:r>
    </w:p>
    <w:p>
      <w:pPr>
        <w:pStyle w:val="TextBody"/>
        <w:bidi w:val="0"/>
        <w:spacing w:before="0" w:after="0"/>
        <w:ind w:left="0" w:right="0" w:firstLine="367"/>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products — BreastCheck, FootFlow, Testic, and ThermaDerm — are designed and intended to be sold directly to consumers over the counter, without the involvement of a healthcare professional, subject to compliance with applicable regulatory requirements in each jurisdiction. The ability to sell a product over the counter is a product-specific determination and does not apply to all Class I medical devices generally.</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designed for home use and are registered with the FDA as Class I medical devices under applicable self-declaration and registration frameworks in relevant jurisdictions. Class I medical devices are generally subject to general regulatory controls and, in many cases, do not require premarket review or clearance by the U.S. Food and Drug Administration (“the FDA”), or equivalent review by applicable foreign regulatory authorities, before marketing. Class I medical devices are generally not subject to premarket review for safety or efficacy, and no regulatory authority has made any determination that they are safe or effective for their intended use.</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and reliability statements included in this prospectus are based on prototype validation, and applicable regulatory registrations for Class I medical devices, and such testing has not been reviewed or independently validated by the FDA or other regulatory authorities. The Company has not conducted large-scale, randomized clinical trials for the current home-use configuration.</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not intended to diagnose cancer or any other medical condition and are intended only to provide an early indication of potential anomalies. Users should seek appropriate clinical evaluation from a qualified healthcare professional for any findings or concerns.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applies this approach to identify abnormal breast tissue patterns that may warrant further clinical assessment, while FootFlow monitors circulation in the extremities of diabetic patients to detect risks associated with reduced blood flow, infection, or inflammation. By combining this film-based technology with artificial intelligence analysis of smartphone images, our products deliver standardized, reliable, and easy-to-understand results. This enables early indication of potential anomalies at home in a safe, non-invasive, and scalable way.</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including BreastCheck and FootFlow, use thermography to detect small but meaningful changes in skin surface temperature. Liquid crystal film placed on the skin produces color shifts in response to temperature differences, creating a simple thermal map that highlights areas of concern.</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applies this approach to identify abnormal breast tissue patterns that may warrant further clinical assessment, while FootFlow monitors circulation in the extremities of diabetic patients to detect risks associated with reduced blood flow, infection, or inflammation. By combining this film-based technology with artificial intelligence analysis of smartphone images, our products deliver standardized, reliable, and easy-to-understand results. This enables early detection at home in a safe, non-invasive, and scalable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four tests are designed to meet applicable Class I regulatory requirements for non-invasive medical devices in the USA (FDA), in Europe (CE) and in the United Kingdom (UKCA). Regulatory approval for Class I products is by self-declaration, confirming that products registered meet the relevant regulatory standards as prescribed. Currently BreastCheck and FootFlow are registered with the FDA in the United States and have been since November 2023, and with regulatory bodies in the UK and the European Union also since November 2023.</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four products, BreastCheck, FootFlow, Testic and ThermaDerm are registered as Class I Medical devices (which are “over the counter” product, meaning they can be sold in pharmacies, and on line, and are not required to be provided through clinicians), with the FDA in the USA, CE in Europe and UKCA in the United Kingdom. Non-invasive, non-diagnostic medical devices such as our four home tests, are registered under a “self-declaration” process, provided the device specification adheres to regulatory standards for Class I medical devices, supported by medical data sheets. Medical regulators have the ability to “question” the classification category for any medical device, and may, on examination, require reclassification of a medical device and require the product to meet the applicable technical and regulatory standards for its revised classification before it may be sold in the relevant country or region.</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strategy provides flexibility to manufacture, market, sell and distribute our products either directly, through members of the Davion group, or through third-party manufacturers, licensees and distributors appointed on a regional or territory-specific basis. We may use different commercialization arrangements in different markets depending upon regulatory requirements, available infrastructure, market conditions and the capabilities of potential commercial partners.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commercialisation model may involve direct manufacturing/distribution and regional third-party manufacturers and distributors. We continually evaluate market conditions and the performance of our licensees where appointed. If we determine that a licensee has failed to meet its obligations or if commercial, operational, or regulatory conditions change, we may elect to assume responsibility for manufacturing, sales, or distribution of one or more of our products directly. Such a transition may require additional capabilities, resources, and investment and may involve a period of operational realignment as we establish or expand internal commercialization capacity.</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pPr>
      <w:r>
        <w:rPr>
          <w:rFonts w:ascii="Times New Roman;Times;Serif" w:hAnsi="Times New Roman;Times;Serif"/>
          <w:b w:val="false"/>
          <w:i w:val="false"/>
          <w:caps w:val="false"/>
          <w:smallCaps w:val="false"/>
          <w:sz w:val="20"/>
        </w:rPr>
        <w:t>Product launches commence with BreastCheck in the USA in the second half of 2026, with follow on product launches in Europe and the United Kingdom, the timing of which will be subject to market conditions while the Company will monitor on an ongoing basis. In respect of initial product launches in the USA, FootFlow is anticipated to launch six months after the initial launch of BreastCheck, and like BreastCheck, it will launch in the USA initially and then develop operations into Europe and the United Kingdom. ThermaDerm and Testic launch dates will be reviewed by management as to launch times and all regulatory filings will be established and filed as applicable, prior to the launch of those two products. During our initial year of commercialization, we expect revenues to be derived primarily from BreastCheck and FootFlow. During the year ended December 31, 2025, we incurred an operating loss of €1.1 million. For additional discussion of risks related to our business and products, see the “</w:t>
      </w:r>
      <w:hyperlink w:anchor="f1_002">
        <w:r>
          <w:rPr>
            <w:rStyle w:val="InternetLink"/>
            <w:rFonts w:ascii="Times New Roman;Times;Serif" w:hAnsi="Times New Roman;Times;Serif"/>
            <w:b w:val="false"/>
            <w:i w:val="false"/>
            <w:caps w:val="false"/>
            <w:smallCaps w:val="false"/>
            <w:sz w:val="20"/>
          </w:rPr>
          <w:t>Risk Factors</w:t>
        </w:r>
      </w:hyperlink>
      <w:r>
        <w:rPr>
          <w:rFonts w:ascii="Times New Roman;Times;Serif" w:hAnsi="Times New Roman;Times;Serif"/>
          <w:b w:val="false"/>
          <w:i w:val="false"/>
          <w:caps w:val="false"/>
          <w:smallCaps w:val="false"/>
          <w:sz w:val="20"/>
        </w:rPr>
        <w:t>” section.</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Listing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offering any new securities in this Registration Statement. We are registering 25,000,000 Ordinary Shares, par value €0.01 per share, for which we have submitted an application to be listed for trading on the Nasdaq Global Market under the ticker symbol “DAVI”.</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have been assigned CUSIP number G27599 102, and will be held electronically through DTC under nominee Cede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registration of the resale of all 25,000,000 of our issued and outstanding Ordinary Shares by the shareholders identified in this prospectus (the “Registered Shareholders”) in connection with the direct listing on the Nasdaq Global Market. All of these Ordinary Shares are already recorded in our register of members maintained by our registrar. The Registered Shareholders may, but are not required to, elect to sell some or all of their Ordinary Shares from time to time following the commencement of trading on Nasdaq, subject to applicable securities laws and the terms described in this prospectus. Any such sales, if made, will be conducted through brokerage transactions at prevailing market prices. This registration statement does not register any primary offering by us and we will not receive any proceeds from the sale of Ordinary Shares by the Registered Shareholders.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We have appointed Revere Securities LLC (“Revere”) as our corporate advisor and as our Lead Market Maker in connection with this direct listing, and Maxim Group LLC as our financial advisor.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of our Ordinary Shares will not be fixed in advance. It will be established by Nasdaq’s automated matching engine in accordance with Nasdaq rules. The Company does not participate in the opening auction. The Lead Market Maker participates in the Nasdaq opening process in accordance with applicable exchange rules, including confirming readiness for trading and interacting with Nasdaq systems as required. However, neither the Company nor its corporate advisor, financial advisor, or Lead Market Maker determine or control the opening price. The Lead Market Maker will provide continuous quotations and may observe publicly disseminated Nasdaq auction imbalance information, where available, but does not receive non-public order book data and does not determine or control the opening price formation, following the commencement of trading.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blanket lock-up agreement has been entered into for a period of 90 days from the first day of trading of the Company’s Ordinary Shares for all 8 members of the board of directors. The three Executive Directors, Jack Kaye, Andreas Ttofi, and David Over, together with the five non-executive directors, Sir Eric Peacock, Kevin Riches, Susan M. King, Jan Dulman, and Julian Sluyters.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our Business and of Owning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Ordinary Shares involves a high degree of risk. Our business, financial condition or results of operations could be adversely affected by any of these risks. You should carefully consider the risks described below and, in the “Risk Factors” section, contained in this prospectus.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Ordinary Shares to decline, resulting in a loss of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owning our Ordinary Shares are subject to numerous risks and uncertainties. These risks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 ability to sell your Ordinary Shares at or above the price you bought them for due to (i) our listing not having the same safeguards as an underwritten initial public offering, which may result in the public price of our Class A Ordinary Shares being volatile and declining significantly upon listing, or (ii) the failure of an active, liquid, and orderly market for our Ordinary Shares to develop or be sustained;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 pre revenue Company with a history of operating losses that is dependent on our CEO to fund its cash needs;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model, which includes the reliance on a single third party licensee for the manufacture and distribution of BreastCheck exposes us to risks beyond our control;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growth depends on demand for BreastCheck and consumer adoption;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substantially on the continuing efforts of our executive officers;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2025 operating results are not indicative of our expected future cost structure once we are publicly listed;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will be diluted by future issuances of additional Ordinary Shares in connection with our future business plans;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products are subject to a variety of government regulations, including HIPAA and FDA compliance in the U.S.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fully recover the value of our intellectual property portfolio;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status as a foreign private issuer.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 Future Capital Raise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Registration Statement relates solely to the direct listing of our existing Ordinary Shares, we may pursue a registered offering or other capital raise following the effectiveness of this Registration Statement and commencement of trading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listing requirements of the Nasdaq Global Market, we have a sufficient number of both Ordinary Shares and shareholders prior to listing to ensure that:</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1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are at least 400 round-lot holders, each holder with a value of $100 or more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least 50% of the 400 round lot holders, hold shares valued at $3,500 or more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1,100,000+ publicly held shares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 value of publicly held shares exceeding $45 million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bid price of $4.00 per share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shareholders exceeding 450</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DTC eligibility through Cede &amp; Co</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governance compliance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committee compliance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the opening trading price will be determined by Nasdaq’s auction process. This direct listing does not involve a firm commitment underwriting, which may increase volatility. Recent sales prices for our Ordinary Shares may bear little or no relation to the trading price at or subsequent to the opening of trading of the original shares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this direct listing does not involve a firm commitment underwriting, there will be no firm commitment underwriters to provide research coverage, stabilization, or marketing support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precedent exists for direct listings, creating additional uncertainty. We have appointed Revere Securities LLC as our corporate advisor and as our Lead Market Maker in connection with this direct listing. This direct listing does not involve a firm commitment underwriting.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Nasdaq will approve our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is incorporated in Ireland, and a majority of our outstanding securities are owned by non-U.S. residents. Under the rules of the U.S. Securities and Exchange Commission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 We are also an “emerging growth Company” under the U.S. Jumpstart Our Business Startups Act (JOBS Act), and as such, we may take advantage of reduced reporting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Consolidated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We are a pre-revenue Company that has incurred operating losses of €1.1 million and €1.6 million for the years ended 2025 and 2024, respectively. Up to the date of this Registration Statement, we have not generated any revenue and continue to operate at a loss, primarily due to ongoing product development and operational costs. Consequently, our liquidity has been limited, and we have been dependent on the CEO’s support to meet our working capital requirements and cover expenses. See “</w:t>
      </w:r>
      <w:hyperlink w:anchor="f1_016">
        <w:r>
          <w:rPr>
            <w:rStyle w:val="InternetLink"/>
            <w:rFonts w:ascii="Times New Roman;Times;Serif" w:hAnsi="Times New Roman;Times;Serif"/>
            <w:b w:val="false"/>
            <w:i w:val="false"/>
            <w:caps w:val="false"/>
            <w:smallCaps w:val="false"/>
            <w:sz w:val="20"/>
          </w:rPr>
          <w:t>Related Party Transactions</w:t>
        </w:r>
      </w:hyperlink>
      <w:r>
        <w:rPr>
          <w:rFonts w:ascii="Times New Roman;Times;Serif" w:hAnsi="Times New Roman;Times;Serif"/>
          <w:b w:val="false"/>
          <w:i w:val="false"/>
          <w:caps w:val="false"/>
          <w:smallCaps w:val="false"/>
          <w:sz w:val="20"/>
        </w:rPr>
        <w:t>” and “</w:t>
      </w:r>
      <w:hyperlink w:anchor="f1_012">
        <w:r>
          <w:rPr>
            <w:rStyle w:val="InternetLink"/>
            <w:rFonts w:ascii="Times New Roman;Times;Serif" w:hAnsi="Times New Roman;Times;Serif"/>
            <w:b w:val="false"/>
            <w:i w:val="false"/>
            <w:caps w:val="false"/>
            <w:smallCaps w:val="false"/>
            <w:sz w:val="20"/>
          </w:rPr>
          <w:t>Management’s Discussion &amp; Analysis</w:t>
        </w:r>
      </w:hyperlink>
      <w:r>
        <w:rPr>
          <w:rFonts w:ascii="Times New Roman;Times;Serif" w:hAnsi="Times New Roman;Times;Serif"/>
          <w:b w:val="false"/>
          <w:i w:val="false"/>
          <w:caps w:val="false"/>
          <w:smallCaps w:val="false"/>
          <w:sz w:val="20"/>
        </w:rPr>
        <w:t>” for additional information on business trends and “</w:t>
      </w:r>
      <w:hyperlink w:anchor="f1_007">
        <w:r>
          <w:rPr>
            <w:rStyle w:val="InternetLink"/>
            <w:rFonts w:ascii="Times New Roman;Times;Serif" w:hAnsi="Times New Roman;Times;Serif"/>
            <w:b w:val="false"/>
            <w:i w:val="false"/>
            <w:caps w:val="false"/>
            <w:smallCaps w:val="false"/>
            <w:sz w:val="20"/>
          </w:rPr>
          <w:t>Capitalization</w:t>
        </w:r>
      </w:hyperlink>
      <w:r>
        <w:rPr>
          <w:rFonts w:ascii="Times New Roman;Times;Serif" w:hAnsi="Times New Roman;Times;Serif"/>
          <w:b w:val="false"/>
          <w:i w:val="false"/>
          <w:caps w:val="false"/>
          <w:smallCaps w:val="false"/>
          <w:sz w:val="20"/>
        </w:rPr>
        <w:t>” for information regarding unaudited pro forma financial data related to the direct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Class 1 product portfolio manufactured and distributed through our planned direct manufacturing/distribution and regional third-party manufacturers and distributors, are expected to provide future revenue and cash inflows. The Company believes that, as of the date of this Registration Statement, with the combination of anticipated future cash flows, the on-going financial support from Jack Kaye, the Company’s CEO, and the additional financings entered into during March of 2026, the Company believes that it has sufficient financial resources to meet its obligations for at least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included in this prospectus have been prepared in accordance with International Financial Reporting Standards (“IFRS”) and audited by WithumSmith+Brown, PC, a PCAOB-registered independent public accounting firm. A complete copy of our audited consolidated financial statements for the fiscal years ended December 31, 2025, and 2024, are provided in the Appendix to this prospectus.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Implications of Being an 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Restated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(a) the last day of the fiscal year during which we have total annual gross revenues of at least US$1.235 billion; (b) the last day of our fiscal year following the fifth anniversary of the completion of this prospectus; (c) the date on which we have, during the preceding three-year period, issued more than US$1.0 billion in non-convertible debt; or (d) the date on which we are deemed to be a “large accelerated filer” under the Securities Exchange Act of 1934, as amended, or the Exchange Act, which would occur if the market value of the shares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Foreign Private Issuer</w:t>
      </w:r>
    </w:p>
    <w:p>
      <w:pPr>
        <w:pStyle w:val="TextBody"/>
        <w:bidi w:val="0"/>
        <w:spacing w:before="0" w:after="0"/>
        <w:ind w:left="9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Ireland, we are permitted to adopt certain home country practices in relation to corporate governance matters that differ significantly from the Nasdaq Stock Market Rules corporate governance listing standards. However, the Company will follow the Nasdaq rules regarding corporate governance. See “</w:t>
      </w:r>
      <w:hyperlink w:anchor="f1_002">
        <w:r>
          <w:rPr>
            <w:rStyle w:val="InternetLink"/>
            <w:rFonts w:ascii="Times New Roman;Times;Serif" w:hAnsi="Times New Roman;Times;Serif"/>
            <w:b w:val="false"/>
            <w:i w:val="false"/>
            <w:caps w:val="false"/>
            <w:smallCaps w:val="false"/>
            <w:sz w:val="20"/>
          </w:rPr>
          <w:t>Risk Factors — Risks Related to Our Shares</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 automatic effectiveness on Nov 28, 2025 under 8(a)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of our 8-A statement on November 28th, 2025, following effectiveness of our F-1.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on Dec 2, 2025, of both our Chief Financial Officer and of our Independent Audit Chair. Confirmation of Nasdaq application in process.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that no offering is occurring as per effective SEC F-1 filing.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subject to a 90 day lockup from 1st day of listing and the majority of shareholders holding more than 999 shares have voluntarily agreed to maintain orderly market rules for a period of 180 days from date of listing.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2026, the Company acquired Davion Healthcare Corporation, a related party company owned by Jack Kaye, our CEO, for $1. The acquisition will increase Davion's cash and related party advances by approximately $445,000. Davion Healthcare Corporations has no substantive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5, 2026, 6-K Filing Addendum amendment to the NeuRX Health Inc contract. See Exhibit 10.6. June 18, 2026 — The Company terminated its global manufacturing and distribution agreement with NeuRX Health Inc. Following termination of that arrangement, the Company adopted a flexible commercialization strategy under which it may manufacture and distribute BreastCheck directly or through group companies and/or appoint third-party manufacturers and distributors on a regional or territory-specific basis. NeuRX Health Inc. may remain a non-exclusive distributor of BreastCheck in the United States, subject to the terms of any separate distribution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3, 2026 The Company entered into an agreement with Maxim Group LLC to act as corporate advisor to the Company. See Exhibit 10.10</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10, 2026 The Company executed a loan note agreement with Streeterville Capital LC for $1.6m. See Exhibit 10.11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24, 2026 The Company entered into a committed $2.0 million term loan facility with Vienna Capital Partners, LLC, which becomes available upon the commencement of trading of the Company’s Ordinary Shares. See Exhibit 10.12</w:t>
      </w:r>
    </w:p>
    <w:p>
      <w:pPr>
        <w:pStyle w:val="TextBody"/>
        <w:bidi w:val="0"/>
        <w:spacing w:before="0" w:after="0"/>
        <w:ind w:left="108" w:right="105"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22, 2026 — Proposed acquisition of Solar Medical and Chemical Limited</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Company announced that it had entered into an agreement to acquire a controlling interest in Solar Medical and Chemical Limited (“Solar Medical”), a United Kingdom-based medical products distribution business. Upon completion, Solar Medical is intended to form part of the Company’s United Kingdom commercial and distribution infrastructure and to support the commercialization of the Company’s product portfolio. The acquisition has not been completed as of the date of this Registration Statement and remains subject to satisfaction of the applicable closing conditions. The Company currently anticipates completion during August 2026. There can be no assurance that the transaction will be completed within the anticipated timeframe or at all.</w:t>
      </w:r>
    </w:p>
    <w:p>
      <w:pPr>
        <w:pStyle w:val="TextBody"/>
        <w:bidi w:val="0"/>
        <w:ind w:left="108" w:right="105" w:firstLine="324"/>
        <w:jc w:val="both"/>
        <w:rPr>
          <w:caps w:val="false"/>
          <w:smallCaps w:val="false"/>
        </w:rPr>
      </w:pPr>
      <w:r>
        <w:rPr>
          <w:caps w:val="false"/>
          <w:smallCaps w:val="false"/>
        </w:rPr>
        <w:t> </w:t>
      </w:r>
    </w:p>
    <w:p>
      <w:pPr>
        <w:pStyle w:val="TextBody"/>
        <w:bidi w:val="0"/>
        <w:ind w:left="108" w:right="105" w:firstLine="324"/>
        <w:jc w:val="both"/>
        <w:rPr>
          <w:caps w:val="false"/>
          <w:smallCaps w:val="false"/>
        </w:rPr>
      </w:pPr>
      <w:r>
        <w:rPr>
          <w:caps w:val="false"/>
          <w:smallCaps w:val="false"/>
        </w:rPr>
        <w:t> </w:t>
      </w:r>
    </w:p>
    <w:p>
      <w:pPr>
        <w:pStyle w:val="TextBody"/>
        <w:bidi w:val="0"/>
        <w:ind w:left="108" w:right="105" w:firstLine="32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8" w:right="105"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25, 2026 — Proposed acquisition of Humaskan Ltd</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2026, the Company announced that it had entered into a share purchase agreement to acquire 100% of Humaskan Ltd (“Humaskan”), a medical technology company focused on proprietary healthcare products and intellectual property, for proposed aggregate consideration of $60 million, comprising $10 million in cash and $50 million in Ordinary Shares of the Company. The equity consideration is proposed to be issued at a reference price of $13.00 per share and subject to contractual lock-up and orderly market provisions. The acquisition has not been completed as of the date of this Registration Statement and remains subject to satisfaction of the applicable closing conditions. The Company currently anticipates completion during August 2026. There can be no assurance that the transaction will be completed within the anticipated timeframe or at all.</w:t>
      </w:r>
    </w:p>
    <w:p>
      <w:pPr>
        <w:pStyle w:val="TextBody"/>
        <w:bidi w:val="0"/>
        <w:ind w:left="108" w:right="105"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2026 — Establishment of United Kingdom subsidiaries and proposed acquisition financing programme</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established Davion Healthcare Ltd (UK) as a wholly owned United Kingdom subsidiary. Davion Healthcare Ltd (UK) subsequently established Davion Healthcare Finance Ltd as its wholly owned subsidiary to manage and implement the Group's proposed acquisition financing programme.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Finance Ltd is intended to act as issuer in connection with a proposed institutional corporate bond programme to provide financing for the Group's acquisition strategy. As of the date of this Registration Statement, the bond programme has not commenced, no bonds have been issued and no proceeds have been raised. The timing, size and terms of any bond issuance remain subject to completion of the relevant documentation, applicable approvals, market conditions and the Company's determination to proceed.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1_002"/>
      <w:bookmarkEnd w:id="28"/>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Direct Listing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RISKS RELATED TO THE DIRECT LISTING</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risks associated with our direct listing include:</w:t>
      </w:r>
    </w:p>
    <w:p>
      <w:pPr>
        <w:pStyle w:val="TextBody"/>
        <w:bidi w:val="0"/>
        <w:spacing w:before="0" w:after="0"/>
        <w:ind w:left="0" w:right="0" w:firstLine="360"/>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75"/>
        <w:gridCol w:w="110"/>
        <w:gridCol w:w="9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price of our Ordinary Shares may be highly volatile and may decline significantly following our direct listing.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opening auction price may differ significantly from the reference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Nasdaq determines the reference price and opening price independently of us.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direct listing does not involve a firm commitment underwriting.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experience limited liquidity or delayed opening on the first day.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sales by existing shareholders could depress the trading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all shareholders entered voluntary orderly market sale agreements.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Nasdaq may determine we do not satisfy initial listing requirements.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Trading may be halted if Nasdaq identifies unusual volatility or imbalance.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carefully review the full “Risk Factors” section for a detailed discussion of these and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to provide price support, manage the order book, or stabilize the trading price of our Ordinary Shares. The price at which our Ordinary Shares will begin trading on The Nasdaq Global Market will be determined solely through Nasdaq’s automated opening auction based on buy and sell interest submitted by market participants immediately prior to the commencement of trading. As a result, the opening price may differ significantly from the reference price or from any valuation implied by private market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direct listing, the market price of our Ordinary Shares may be subject to extreme volatility, including rapid and substantial increases or decreases in price. This volatility may be unrelated to our operating performance and may result from fluctuations in volume, investor sentiment, or sales by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determines the reference price and opening auction price in accordance with its rules based on market participant orders and available pricing information, which may result in an initial trading price that does not reflect the value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direct listing, Nasdaq determines both the reference price and the opening auction price using proprietary methodologies and real-time auction order book information. We do not propose, negotiate, recommend, determine or control the reference price nor do we participate in the opening auction price, nor in matching orders or in the price-discovery process. There is a risk that Nasdaq’s reference price may differ substantially from the opening auction price, and that the opening auction price may not reflect the underlying value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we satisfy Nasdaq’s initial listing requirements for a direct listing, Nasdaq has reviewed valuation materials provided by the Company, including evidence of private, off-market transactions in our Ordinary Shares carried out prior to Nasdaq’s review. These private transactions, which were conducted at prices of approximately $11.00 per share, including transactions originally denominated in euro and converted into U.S. dollars, during the three months preceding Nasdaq’s review, may not be indicative of the price at which our Ordinary Shares will trade upon commencement of trading or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transactions are typically negotiated between limited parties, may not reflect broader market demand, and may occur under circumstances that differ from an open and liquid public market. As a result, reliance on such transactions as part of the valuation evidence supporting our listing may not result in an opening price or subsequent trading price that reflects the value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ability of investors to pursue claims under Sections 11 and 12(a)(2) of the Securities Act may be limited due to challenges in tracing their shares to this registration statement in a direct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conducting a direct listing rather than a traditional underwritten initial public offering, our Ordinary Shares will not be issued pursuant to a single, discrete offering transaction. Instead, all of our issued and outstanding Ordinary Shares are being registered for resale and may be sold by existing shareholders from time to time in the public market. As a result, investors who purchase shares in the open market may find it difficult or impossible to trace the particular shares they purchased to this registration statement.</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under Section 11 and Section 12(a)(2) of the Securities Act generally require a plaintiff to establish that the securities at issue were issued pursuant to, or traceable to, a registration statement or prospectus that contained a material misstatement or omission. The absence of a traditional underwritten offering and the commingling of registered and unregistered shares in the public market following a direct listing may make such tracing impracticable. As a result, the remedies available to investors under the Securities Act may be more limited than in a traditional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any firm commitment underwriting, increases the risk that the opening price may deviate materially from investors’ expectations or from subsequent trading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Registered Shareholders to sell their Ordinary Shares at their discretion, notwithstanding voluntary orderly market agreements and a limited-duration lock-up applicable to our directors and executive officers, may result in significant volatility and downward pressure on the trading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a traditional underwritten initial public offering, in which underwriters typically impose contractual lock-up agreements on significant shareholders, this direct listing does not include mandatory lock-ups for all Registered Shareholders. As a result, any Registered Shareholder that is not subject to a voluntary restriction may sell some or all of their Ordinary Shares in the public market at any time after trading commences, subject only to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more significant Registered Shareholders, have voluntarily entered into orderly market agreements pursuant to which, for a period of 180 days following the commencement of trading, each such shareholder has agreed not to sell more than the lesser of (i) 5% of the average daily trading volume of our Ordinary Shares over the previous five trading days and (ii) 5% of such shareholder’s total shareholding.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agreements are intended to promote an orderly trading market; however, they are voluntary in nature, do not apply to all shareholders, and may be waived or terminated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have voluntarily agreed to a 90-day lock-up period beginning on the first day of trading. Upon expiration of this period, these affiliates will be permitted to sell their Ordinary Shares, subject to applicable securities laws including Rule 144.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or anticipated sale of a substantial number of Ordinary Shares by shareholders who are not subject to orderly market agreements, by shareholders after the expiration of such agreements, or by affiliates following the expiration of the voluntary lock-up period, could place significant downward pressure on the trading price of our Ordinary Shares, reduce liquidity, and increase price volatility. Even the perception that such sales may occur could adversely affect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Commencement of Trading and Exchange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2"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commencement of trading of our Ordinary Shares is subject to exchange discretion, and trading may be delayed or may not commence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registration statement is effective, the commencement of trading of our Ordinary Shares on any securities exchange is subject to the rules, procedures, and discretion of that exchange. An exchange may delay, condition, or decline to commence trading for reasons unrelated to the effectiveness of our registration statement, including considerations relating to market conditions, order imbalances, or other factors the exchange deems relevant to the maintenance of an orderly market. There can be no assurance that trading will commence on any particular date or at all.</w:t>
      </w:r>
    </w:p>
    <w:p>
      <w:pPr>
        <w:pStyle w:val="TextBody"/>
        <w:bidi w:val="0"/>
        <w:spacing w:before="0" w:after="0"/>
        <w:ind w:left="302"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Ordinary Shares are not approved for listing on The Nasdaq Global Market, we currently intend to file a post-effective amendment to terminate the resale registration under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an insufficient amount of buy or sell interest to support an active trading market, which may negatively affect the liquidity and trading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depth of buy and sell interest submitted before the opening auction will significantly influence the opening price and the initial liquidity of trading in our Ordinary Shares. There can be no assurance that a sufficient number of orders will be submitted to produce meaningful price discovery. If limited buy interest exists at the time of the opening auction, the opening price could be lower than anticipated or trading may be delayed. Even if trading begins promptly, there may be limited liquidity, which could cause the price of our Ordinary Shares to be highly volatile.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Ordinary Shares by existing shareholders, or the perception that such sales may occur, could cause the price of our Ordinary Shares to decline.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registers the resale of up to 25,000,000 Ordinary Shares by existing shareholders on a continuous or delayed basis under Rule 415. After our Ordinary Shares begin trading, selling shareholders may sell their shares in the public market at any time. Sales by a large number of shareholders, or even the perception that such sales may occur, could place downward pressure on the trading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did not enter into voluntary orderly market agreements are free to sell any number of shares at any time after our direct listing, subject to applicable securities laws.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certain shareholders have voluntarily agreed to orderly market limitations, participation is not universal and such agreements may not effectively reduce volatility in the trading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shareholders holding more than 999 Ordinary Shares voluntarily agreed to limit their daily sales for the first 180 days following our direct listing. However, these agreements are voluntary, are not binding on all eligible shareholders, and are not enforceable by the Company. Shareholders who did not enter into such agreements may sell without limitation, which may disrupt trading patterns or contribute to price volatility. Even participating shareholders may choose to sell up to permitted daily volumes, which may impact the trading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direct listing does not involve a firm commitment underwriting, which may result in an unstructured or unstable market for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traditional IPO, underwriters conduct bookbuilding, allocate shares to institutional investors, and often engage in research and stabilization activities. These activities support price discovery and help create an orderly trading market. This direct listing does not involve a firm commitment underwriting, and none of these stabilization mechanisms exist. As a result, our Ordinary Shares may experience significant price swings, lower liquidity, or unusual trading patterns.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direct listing does not involve a firm commitment underwriting, there will be:</w:t>
      </w:r>
    </w:p>
    <w:p>
      <w:pPr>
        <w:pStyle w:val="TextBody"/>
        <w:bidi w:val="0"/>
        <w:spacing w:before="0" w:after="0"/>
        <w:ind w:left="0" w:right="0" w:firstLine="36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1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price stabilization,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syndicate support,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aftermarket buy-side interest created through allocation commitments.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may be highly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Neither the Company nor its management will determine or control price discovery.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directors, officers, and management do not participate in the opening auction, price-setting, order placement, or any activity intended to determine or control price discovery. Price discovery will be determined solely by market participants in accordance with exchange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Nasdaq determines that certain listing requirements have not been satisfied, our Ordinary Shares may not be approved for listing or may be subject to delisting.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must confirm that we satisfy all applicable initial listing requirements before our Ordinary Shares can commence trading. If Nasdaq determines that our registration statement does not include sufficient disclosure relating to the direct listing process, or that we do not meet any quantitative or qualitative listing criteria, it may delay or deny the approval of our listing. Failure to list our Ordinary Shares as expected could adversely affect the liquidity of our shares and our ability to access capital markets in the future.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has indicated to us that, for purposes of its listing qualification analysis, it is using a qualification price of $12.36 per share, based on Nasdaq’s application of its listing standards to the valuation materials provided by the Company. However, that qualification price is not a commitment that our Ordinary Shares will begin trading at that price or at all.</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satisfy Nasdaq’s minimum bid price requirement in a direct listing, a Company may be required to demonstrate a valuation-based bid price or valuation-based market value of unrestricted publicly held shares supporting a valuation-based or compelling evidence-based bid price between $8.00 and $10.00, as applicable under the relevant listing standard. Although we currently intend to rely on our existing capitalization and the valuation materials reviewed by Nasdaq, Nasdaq retains discretion in applying its initial listing standards and may determine that we do not satisfy one or more applicable requirements.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intend to undertake a reverse stock split or similar corporate action in order to satisfy Nasdaq’s minimum bid price requirement. However, if Nasdaq were to conclude that we do not satisfy one or more listing requirements, or if market conditions change, we could be required to delay the listing or consider alternative actions, including corporate actions that may adversely affect shareholders.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delay, denial, or change in structure could materially and adversely affect the liquidity, trading market, and market value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opening auction may be delayed, which may negatively affect market perception and trading behavior.</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may delay the opening of trading in our Ordinary Shares if the opening auction does not receive sufficient buy or sell interest or if imbalance messages cannot be resolved at a single executable price. Any such delay could undermine market confidence and could result in increased volatility once trading commences.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in our Ordinary Shares may be halted or suspended following the direct listing if Nasdaq detects unusual volatility or order book instability.</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has authority to halt trading in circumstances involving extraordinary volatility, order imbalance, or technical issues affecting order matching. A halt shortly after initial trading may negatively affect investor confidence, disrupt liquidity, or contribute to erratic trading behavior after the halt is lifted.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Opening Auction May Produce an Unpredictable Market Price</w:t>
      </w:r>
    </w:p>
    <w:p>
      <w:pPr>
        <w:pStyle w:val="TextBody"/>
        <w:bidi w:val="0"/>
        <w:ind w:left="0" w:right="0" w:firstLine="360"/>
        <w:jc w:val="both"/>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opening auction balances supply and demand.</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Large imbalances, or thin supply from shareholders, may cause:</w:t>
      </w:r>
    </w:p>
    <w:p>
      <w:pPr>
        <w:pStyle w:val="TextBody"/>
        <w:bidi w:val="0"/>
        <w:ind w:left="36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25"/>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significant divergence from the $12.36 reference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low opening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trading delay,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price swings in the first minutes of trading.</w:t>
            </w:r>
          </w:p>
        </w:tc>
      </w:tr>
    </w:tbl>
    <w:p>
      <w:pPr>
        <w:pStyle w:val="TextBody"/>
        <w:bidi w:val="0"/>
        <w:ind w:left="36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Absence of Traditional Lock-Ups May Increase Selling Pressure</w:t>
      </w:r>
    </w:p>
    <w:p>
      <w:pPr>
        <w:pStyle w:val="TextBody"/>
        <w:bidi w:val="0"/>
        <w:ind w:left="0" w:right="0" w:firstLine="360"/>
        <w:jc w:val="left"/>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Shareholders may sell at their discretion.</w:t>
        <w:br/>
        <w:t>Affiliates (board and officers) are voluntarily locked for 90 days only.</w:t>
      </w:r>
    </w:p>
    <w:p>
      <w:pPr>
        <w:pStyle w:val="TextBody"/>
        <w:bidi w:val="0"/>
        <w:ind w:left="36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Bookbuilding or Institutional Price Discovery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traditional IPO:</w:t>
      </w:r>
    </w:p>
    <w:p>
      <w:pPr>
        <w:pStyle w:val="TextBody"/>
        <w:bidi w:val="0"/>
        <w:ind w:left="0" w:right="0" w:firstLine="360"/>
        <w:jc w:val="left"/>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125"/>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underwriters meet with institutions,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collect indications of interest,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set a price range,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allocate shares.</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Sales Will Drive Liquidity and Price Formation</w:t>
      </w:r>
    </w:p>
    <w:p>
      <w:pPr>
        <w:pStyle w:val="TextBody"/>
        <w:bidi w:val="0"/>
        <w:ind w:left="360" w:right="0" w:hanging="0"/>
        <w:jc w:val="left"/>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will depend entirely on shareholder supply.</w:t>
      </w:r>
    </w:p>
    <w:p>
      <w:pPr>
        <w:pStyle w:val="TextBody"/>
        <w:bidi w:val="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br/>
        <w:t>Low supply could reduce liquidity; high supply could pressure the price.</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satisfy continued listing requirements</w:t>
      </w:r>
    </w:p>
    <w:p>
      <w:pPr>
        <w:pStyle w:val="TextBody"/>
        <w:bidi w:val="0"/>
        <w:ind w:left="36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the continued listing requirements of The Nasdaq Global Market, our Ordinary Shares could be delisted.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existing shareholders have voluntarily agreed to 180-day orderly market sale limitations, but these restrictions are not universal and may not reduce selling pressure.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existing shareholders holding more than 999 Ordinary Shares have voluntarily agreed to limit the volume of Ordinary Shares they may sell during the 180-day period following our direct listing. Although a majority of such shareholders have elected to participate,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participation in the voluntary orderly market agreements is not universal and the Company does not enforce or supervise compliance, the trading price of our Ordinary Shares may still be subject to significant volatility resulting from selling activity by shareholders who are not subject to these voluntary limitations.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commercialization strategy may involve both direct operations and reliance on third-party manufacturers, licensees and distributors, each of which exposes us to operational and execution risks.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commercialization strategy provides flexibility to manufacture, market, sell and distribute our products either directly, through members of the Davion group, or through third-party manufacturers, licensees and distributors appointed on a regional or territory-specific basis. We may use different commercialization arrangements in different markets depending upon regulatory requirements, available infrastructure, market conditions and the capabilities of potential commercial partners.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rely on third parties, our ability to successfully commercialize our products will depend, in part, upon the performance, financial stability, regulatory compliance and operational capabilities of those parties. We may have limited control over their manufacturing processes, supply chains, marketing activities, sales performance, customer service and distribution capabilities. A failure by a manufacturer, licensee or distributor to perform its obligations, maintain required regulatory standards, secure adequate product supply or successfully develop its market could delay product launches, restrict product availability and adversely affect our revenues and reputation.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appoint different manufacturers, licensees or distributors for individual countries or regions and may enter into exclusive or non-exclusive arrangements depending upon the relevant market. Although this approach may reduce our dependence upon a single global commercial partner, managing multiple third-party relationships may increase the complexity of our operations and require additional management, regulatory oversight, quality-control and administrative resources.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elect to manufacture, market, sell or distribute products directly, we may be required to develop or expand internal capabilities relating to manufacturing oversight, procurement, inventory management, logistics, regulatory compliance, sales, marketing, customer service and warranty administration. We currently have limited experience operating these functions at commercial scale, and establishing the necessary infrastructure may require additional personnel, working capital and investment. There can be no assurance that we will be able to establish these capabilities within our anticipated timeframe or at an acceptable cost.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transition of a product or territory from one manufacturer, licensee or distributor to another, or from a third-party arrangement to direct commercialization by the Company, may also result in temporary interruptions to manufacturing, product supply or sales while replacement arrangements are implemented and any necessary regulatory, contractual or supply-chain requirements are completed.</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our direct commercialization activities or arrangements with third-party manufacturers, licensees and distributors will be successful, or that we will be able to commercialize our products within our anticipated timeframes or at anticipated volumes, margins or costs. Any failure or material delay in implementing our commercialization strategy could have a material adverse effect on our business, financial condition and results of operations.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or regional licensee underperformance or default could abruptly restrict our market access and revenue streams.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many cases, we may depend on a single licensee in a territory or even globally. Should that licensee experience financial distress, bankruptcy, management changes, loss of regulatory approval, or simply choose to withdraw from the market, we may have no immediate alternative route to market. Replacing such partners may take significant time due to regulatory approvals, onboarding, supply chain reconfiguration, and renegotiation of commercial arrangements. These delays could materially harm our ability to stabilize revenue and maintain market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risk exposure increases when licensees are responsible for warranty obligations and after-sales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of our products will typically seek recourse from the licensee that sold or manufactured the product. If a licensee fails to properly administer warranty claims, provide replacement products, or deliver adequate post-sales support, consumer satisfaction may decline. Any lack of support perceived by customers can damage our brand and result in claims or complaints directed at us, even if the licensee is contractually responsible. Additionally, if a licensee becomes unable or unwilling to fulfill warranty obligations, we may be required to assume those liabilities ourselves, which could increase our costs and reduce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a partner controls manufacturing, disruptions in their operations can directly translate to lost product availability.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licensees may rely on third-party component suppliers, logistics providers, and distributors. Instability anywhere in their supply chain could lead to stock shortages, inconsistent product quality, or delays in launch timelines. We may not be able to mitigate these impacts quickly, especially where tooling, technical know-how, or regulatory registration is tied to that licensee.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licensee arrangement structures increase key-partner concentration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grant exclusive licenses across large geographic territories or product categories, the dependency risk intensifies. If that exclusive partner fails to meet commercial milestones, restricts product availability, or deprioritizes our product line in favor of competing offerings, we may be left with no practical alternative for commercializing our technology in that region for the duration of the exclusivity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forced to assume direct responsibility for manufacturing, sales, distribution, or warranty services if a licensee fails to perform, which could require substantial time and resources and may not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licensee does not meet its obligations or withdraws from a market, or if market conditions change and we determine that continued reliance on third parties is no longer viable or commercially advantageous, we may need to transition one or more of our products to direct commercialization. This may include assuming responsibility for manufacturing, supply chain, sales force development, regulatory compliance, customer support, or warranty administration. We have limited internal experience, infrastructure, and personnel to carry out these functions at scale. Any such transition could result in significant additional cost, production delays, loss of market share, adverse regulatory findings, or reputational harm. There is no assurance that we would be able to successfully implement direct commercialization or achieve the level of market penetration, pricing, or performance that we currently expect licensees to deliver.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experience cost increases or disruptions in the supply of raw materials, such as liquid crystal and/or thermochromic inks and films used in BreastCheck.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requires the procurement of raw materials and components, including liquid crystal and/or thermochromic inks and films. Following the termination of the Company's previous global manufacturing and distribution arrangement, the Company intends to source manufacturing either directly, through members of the Davion group, or through third-party manufacturers appointed for particular territories or regions. The prices and availability of these materials may fluctuate due to factors beyond the Company's control, including market conditions, global demand, currency fluctuations, tariffs, transportation costs and political or economic instability. Substantial increases in these costs or interruptions in supply could increase manufacturing and distribution expenses, delay commercialization and adversely affect product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licensed manufacturers are dependent on their suppliers.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uses multiple parts sourced from numerous suppliers, some of which are limited or single-source. Any disruption in supply could temporarily halt production until alternative sources are qualified, which may not be achievable on acceptable terms or within a reasonable timeframe. Events such as supplier business failures, force majeure, regulatory changes, transportation disruptions or other unforeseen factors could materially and adversely affect product availability, commercialization schedules, revenues and margins, whether manufacturing is undertaken directly by the Company or through third-party manufacturers.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prospects depend significantly on our ability to build and maintain the BreastCheck brand.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relies heavily on consumer awareness and acceptance of BreastCheck. We intend to pursue branding initiatives, including digital community engagement and ongoing awareness campaigns by our distributor. These efforts may not succeed and could require more costly traditional advertising channels. Negative publicity, unfavorable product reviews, or adverse social media commentary could harm consumer confidence and materially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initially dependent on a limited number of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first year of commercialization, we expect to generate revenues primarily from BreastCheck and FootFlow. If we encounter delays in manufacturing, regulatory issues, adverse publicity, or lack of market acceptance of either product, our financial results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2025 financial results are not indicative of our expected future operating cost structure. We will incur increased costs as a result of becoming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our executive officers and directors have waived their right to their annual remuneration of €3.6 million, until such time that the Company is listed on Nasdaq and the Company has raised $5 million in capital. As such, our 2025 financial results are artificially low and are not indicative of our future on-going cost structure once the Company is listed. Additionally, compliance with SEC and Nasdaq requirements and higher costs to operate as a public Company will increase our expenses for legal, accounting, compliance, insurance, director and executive officer costs, stock compensation costs, amongst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authorities may reclassify our products, which could increase costs and delay commercialization.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registered or eligible for registration as Class I medical devices. Regulators retain the discretion to reclassify devices into higher categories that require additional testing, data, or approvals. If any of our products were reclassified, we could incur significant costs, delays, or be unable to commercialize those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are not diagnostic tests and may be misunderstood by consumers or healthcare professionals.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designed to provide early warning indicators and are not diagnostic. Consumers may misinterpret the results, fail to seek further medical evaluation, or rely on the tests as substitutes for clinical diagnosis. Misuse or misunderstanding of our products could result in adverse outcomes for consumers, reputational damage, and potential liability claims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with no commercial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completed development and achieved regulatory registration for certain products, we have not yet launched commercial sales. Investors have limited basis to evaluate our ability to successfully market and sell our products. Our failure to achieve commercial success in the early stages could impair our growth prospects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may be adversely affected if our products are not accepted by consumers and healthcare professionals.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our products depends on market acceptance. Factors that may affect acceptance include consumer confidence in the reliability of the tests, recommendations from healthcare providers, pricing, competing products, and regulatory or media scrutiny. Failure to achieve broad acceptance would materially limit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substantially on the continuing efforts of our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the continued service of our executive team. If one or more were to leave, we might not be able to replace them in a timely manner. Competition for qualified personnel is intense, and we have not obtained “key person” insurance. If our executives joined a competitor or founded a competing business, we could lose know-how, talent, and customer relationships.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depends on demand for BreastCheck and consumer adoption.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BreastCheck is influenced by general economic, political, and social conditions, as well as product pricing, regulatory requirements, and consumer health awareness. Volatility in demand may lead to reduced sales, pricing pressure, and adverse effects on our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product liability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BreastCheck is a health-related product, we face the risk of liability claims if it does not perform as expected. Any such claims, whether or not successful, could result in substantial monetary awards, damage to our reputation, negative publicity, and inhibited commercialization. Insurance coverage may be inadequate to cover all potential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our growth effectively, we may not be able to market and sell BreastCheck successfully.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planned direct manufacturing/distribution and regional third-party manufacturers/distributors. model and product portfolio, we must scale our operations, infrastructure, and personnel. Failure to manage this growth effectively could materially and adversely affect our business and financial results.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properly protect and store consumer medical records, we may be subject to significant liability, litigation and reputational harm.</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involve the generation, collection, and storage of first-party medical records created through test results. These records are classified as highly sensitive personal information, and their handling is subject to strict regulatory frameworks, including data protection and privacy laws in the jurisdictions in which we operate. The requirements of such regulations are complex, may differ across markets, and are continually evolving.</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by us, or by third parties on whom we rely, to implement and maintain adequate systems to protect this information could result in unauthorized access, data loss, misuse, or cyberattack. A breach of security affecting medical records could expose us to significant liability, governmental investigations, civil penalties, private litigation, and reputational harm. Even the perception that our data security measures are inadequate could have a material adverse effect on our ability to attract and retain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third party mobile platforms for our product to work. If we fail to comply with a third party’s platform requirements our product acceptance will be negatively impacted.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mobile applications that operate on Apple iOS and Google Android platforms to allow customers to capture images of their test results using mobile phone cameras and transmit those images to our servers for further analysis. These applications are critical to the customer experience, and any disruption in their availability or performance could materially and adversely affect adoption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mobile applications must comply with the requirements and policies imposed by Apple and Google, we are exposed to risks outside our control. Changes to technical standards, developer policies, or distribution rules could impair the functionality of our applications, delay necessary updates, or prevent continued availability through the Apple App Store or Google Play Store. Additionally, defects, performance failures, or security vulnerabilities in our applications, whether real or perceived, could undermine user confidence, damage our reputation, and expose us to claims of product malfunction.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properly maintain our technology infrastructure and comply with evolving laws on artificial intelligence use in healthcare, our business will be materially and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products depends heavily on the reliability of our back-end server infrastructure and the application of artificial intelligence (“AI”) algorithms to analyze customer test results. These systems must operate accurately and consistently in order to produce meaningful outcomes. Failures in server capacity, outages, software errors, cybersecurity incidents, or flaws in our AI-based analysis could result in inaccurate or delayed results. Such outcomes may cause customers to lose confidence in our products and could expose us to regulatory enforcement, liability claims, and reputational damage.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regulatory environment for AI technologies remains uncertain and continues to evolve. New laws or guidance governing AI use in healthcare, data analysis, or medical devices could increase our compliance costs, impose new operational requirements, or restrict our ability to deploy AI in the manner we currently anticipate. If we are unable to maintain the accuracy, security, and compliance of our back-end infrastructure and AI systems, our business, financial condition, and results of operations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Sales-and-Licensing Business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to a large extent on third-party licensees for the commercialization of our products, and our success depends on their performance.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commercialization model may involve a combination of direct manufacturing and distribution and arrangements with third parties for the manufacture, marketing, distribution and sale of our medical devices. Following the termination of the Company's previous global manufacturing and distribution agreement for BreastCheck, the Company no longer intends to rely upon a single global licensee.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Instead, the Company intends to evaluate commercialization arrangements on a market-by-market basis and may manufacture or distribute products directly, through members of the Davion group, or through regional or territory-specific third-party manufacturers and distributors. We do not currently maintain large-scale internal manufacturing facilities or a global sales force and, to the extent that we undertake these activities directly, we may be required to develop additional infrastructure, personnel and supply-chain capabilities.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licensees fail to achieve required regulatory approvals or comply with applicable laws, our commercialization efforts may be delayed or prevented.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partners are responsible for regulatory submissions, manufacturing compliance, quality control, adverse event reporting, and ongoing regulatory obligations in various jurisdictions. Any failure by a licensee to obtain necessary regulatory approvals or to maintain ongoing compliance may result in delayed product launches, inability to market products, product recalls, regulatory sanctions, reputational damage, and reduced revenue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control over the sales, pricing, and marketing strategies of our licensees, and mismanagement could adversely impact our brand and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generally grant partners discretion over commercial strategy, including marketing spend, product promotion, sales coverage, and pricing decisions. If a partner’s strategy is ineffective or inconsistent with our brand positioning or market expectations, product uptake may be hindered, and our reputation and business prospects could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license agreements may be terminated, and we may not secure alternative licensees in a timely manner,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agreements include termination rights for non-performance or other commercially customary reasons. If a licensee elects to discontinue a product line, shifts focus to competing priorities, or becomes financially distressed, we may experience significant delays while we seek replacement partners. Such delays could materially impact revenues and market penetration.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licensees may market or develop competing products, reducing their focus on our portfolio.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partners may sell or develop products that compete with ours, which may dilute their commercial commitment. Even where exclusivity applies, licensees may still allocate their resources toward more profitable or strategically important alternatives, impairing our ability to achieve expected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partners fail to meet minimum manufacturing or sales targets, we may not receive anticipated royalties or milestone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contractual minimums that do not guarantee actual performance. Failure to meet sales or production targets could result from inadequate resources, poor regulatory execution, limited market acceptance, supply chain issues, or general economic conditions. We may also be forced to renegotiate terms on less favorable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Disputes with partners could result in costly litigation or arbitration and disrupt commercialization.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arrangements may give rise to disagreements regarding milestone obligations, royalties, product quality, marketing commitments, and regulatory compliance. Resolving disputes can divert management attention, incur significant legal expenses, damage relationships, and interrupt supply or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third parties creates confidentiality and intellectual property enforcement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share proprietary information with our licensees. Despite contractual protections, we cannot ensure that partners will maintain confidentiality or refrain from misusing our intellectual property. Infringement or unauthorized use may reduce our competitive advantage and result in costly enforcement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by our licensees to maintain adequate product quality and supply may harm our reputation and commercial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partners to produce devices consistent with regulatory standards and our specifications. Variations in product quality, manufacturing delays, stock shortages, or product recalls attributable to partners could significantly harm the market perception of our technologies and materially reduce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Government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U.S. federal and state healthcare privacy and data protection laws, including HIPAA, could result in significant liability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online proprietary test portal collects, transmits, and maintains health-related and personal information from users in the United States. As the licensor and operator of the portal, we are responsible for compliance with applicable U.S. federal and state healthcare privacy and data protection laws, including the Health Insurance Portability and Accountability Act of 1996, as amended (“HIPAA”), and its implementing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and related rules establish extensive privacy, security, and breach-notification obligations for “covered entities” and their “business associates” with respect to protected health information (“PHI”). To the extent our technology or services involve the creation, receipt, maintenance, or transmission of PHI, we may be deemed a business associate and required to implement and maintain robust administrative, technical, and physical safeguards to protect such data.  In addition, numerous U.S. states have enacted complementary or more stringent privacy and cybersecurity laws, some of which apply to consumer health information, biometric data, or other personally identifiable information, regardless of HIPAA status. Complying with these overlapping and evolving requirements may require significant resources and continuous updates to our policies, systems, and contractual arrangements with service providers.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or our third-party vendors to comply with HIPAA or applicable state privacy and security requirements could result in investigations, enforcement actions, substantial civil or criminal penalties, and mandatory corrective measures. A data breach or other security incident affecting information collected through our connected devices or portal could expose us to litigation, loss of customer confidence, and reputational harm.  Because we are in the early stages of commercialization and rely on digital connectivity for product performance and support, any such event could materially delay our ability to generate revenues, increase our compliance costs, or limit our ability to enter into commercial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plan to implement privacy and data-security policies designed to safeguard PHI and other personal data, and plan to conduct periodic risk assessments of our systems and vendors, no security measures are infallible. Cyberattacks, human error, or system vulnerabilities could result in unauthorized access to or loss of data. In addition, evolving interpretations of HIPAA or new state-level privacy laws may impose additional obligations or liabilities on us.  Any failure to comply with these requirements could result in regulatory sanctions, financial penalties, or operational disruptions, any of which could materially adversely affect our business,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by our licensees with U.S. FDA regulations applicable to Class 1 medical devices.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rely on third-party licensees to manufacture and distribute our Class I medical devices in the United States, any failure by these licensees to comply with U.S. Food and Drug Administration (“FDA”) regulations could expose us to regulatory, commercial, or reputational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test portal and proprietary software platform are used to display, process, and transmit thermal imagery generated by the Company’s products. The Company does not believe that this software requires separate premarket regulatory clearance or approval as a standalone medical device in the United States, European Union, or Middle East, because it does not independently perform diagnostic decision-making or automated clinical interpretation and is used as a supporting visualization and data management tool, however, regulators may in the future determine that certain software functions constitute regulated Software as a Medical Device (SaMD).</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license certain of our technologies and product rights to third-party licensees that are responsible for manufacturing, labeling, and distributing the related medical devices in the United States. These products are regulated by the U.S. Food and Drug Administration (“FDA”) as Class I medical devices under the Federal Food, Drug and Cosmetic Act (the “FD&amp;C Act”). Although such devices are generally considered low-risk and are subject primarily to the FDA’s “general controls,” including establishment registration, device listing, labeling, complaint handling, and medical device reporting obligations, our licensees are directly responsible for ensuring compliance with these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agreements typically require our licensees to comply with all applicable laws and regulations and to maintain appropriate quality systems, we do not control their day-to-day regulatory, manufacturing, or distribution activities. As a result, we depend on their continued regulatory compliance and cooperation with the FDA. If a licensee fails to comply with applicable FDA requirements—such as quality system regulations, labeling rules, or medical device reporting obligations—the FDA could take enforcement action against the licensee, including warning letters, product seizures, injunctions, or recalls.  Even though we are not the registered manufacturer, such actions could adversely affect our brand, restrict product availability, or lead to claims against us as the technology owner or licensor.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FDA may determine that a product manufactured or marketed by a licensee requires a pre-market notification (510(k)) submission or other regulatory clearance. If the licensee is delayed or unable to obtain such clearance, commercialization of the affected product could be delayed or suspended, resulting in reduced royalty income to us.  Any material compliance issues by our licensees could therefore disrupt supply, delay revenue, or damage our reputation in the medical community.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seek to mitigate these risks through contractual oversight, reporting requirements, and quality review rights, we cannot assure you that our licensees will maintain full compliance with all FDA regulations at all times.  Any actual or perceived non-compliance by a licensee could result in enforcement action, reputational harm, loss of market access, or financial penalties, any of which could materially adversely affect our business, financial position,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Intellectual Property and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fully realise the future economic value of our intellectual property portfolio.</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portfolio is the foundation of our business and comprises the technologies underlying our portfolio of non-invasive medical devices, including BreastCheck, FootFlow, Testic and ThermaDerm. The future economic benefits expected to be derived from these technologies are dependent upon the successful development, regulatory approvals and registrations where applicable, commercialisation, market acceptance, planned direct manufacturing/distribution and regional third-party manufacturers/distributors arrangements and our ability, together with our commercial partners, to generate sustainable future revenues.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consolidated financial statements included in this Registration Statement, the intellectual property transferred in February 2023 is recognised at its predecessor carrying amount and is amortised on a straight-line basis over an estimated useful economic life of ten years commencing on 6 February 2023. The accounting carrying amount reflected in our consolidated financial statements is determined in accordance with applicable accounting standards and should not be regarded as an indication of the current market value or future commercial value of our intellectual property portfolio.</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active market for our intellectual property and the future commercial value of these assets is inherently uncertain. The successful commercialisation of our technologies depends on numerous factors, many of which are beyond our control, including product performance, customer acceptance, manufacturing capability, regulatory developments, competitive products, reimbursement policies, planned direct manufacturing/distribution and regional third-party manufacturers/distributors, partner performance, intellectual property protection, economic conditions and changes in healthcare markets.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amortise our intellectual property over its estimated useful economic life and assess the assets for impairment whenever events or changes in circumstances indicate that their carrying amount may not be recoverable. These assessments require management to make significant judgements and estimates regarding future cash flows, commercial performance, technological developments, regulatory developments, market conditions and other assumptions. Actual results may differ materially from those estimates.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fail to achieve expected commercial acceptance, if planned direct manufacturing/distribution and regional third-party manufacturers/distributors arrangements do not perform as anticipated, if market conditions deteriorate, if technological or regulatory developments adversely affect our products, or if other impairment indicators arise, we may be required to recognise additional impairment charges or restate the estimated remaining useful life of our intellectual property. Any such charges or restatement could materially and adversely affect our financial position, results of operations and shareholders' equity.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accounting presentation of the February 2023 transaction reflected in the financial statements included in this Registration Statement relates solely to the accounting measurement and presentation of that historical transaction. It does not affect the legal ownership of the intellectual property, the validity of the underlying transaction documentation, the Company's commercial rights, licensing arrangements or strategy for commercialising its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defend against patent or trademark infringement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or other parties may assert intellectual property rights that interfere with our ability to manufacture or license BreastCheck. If we were found to infringe such rights, we could be required to cease sales, redesign our products, or obtain licenses on unfavorable terms. Litigation, even if not successful, could divert resources and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patents, trademarks, and trade secrets critical to our success. However, patents may expire, be invalidated, or provide only limited protection, and enforcement can be costly and uncertain, particularly in foreign jurisdictions. Unauthorized use of our intellectual property could erode our competitive position and harm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risks associated with strategic alliances or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joint ventures, planned direct manufacturing/distribution and regional third-party manufacturers/distributors, partnerships, or acquisitions could expose us to risks such as loss of proprietary information, non-performance by partners, integration difficulties, or exposure to unanticipated liabilities. Acquisitions may also require significant capital or equity issuances, resulting in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Macroeconomic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macroeconomic or geopolitical events could affect our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uncertainty, including inflation, energy price volatility, geopolitical conflicts, and public health crises, may reduce consumer confidence and impact demand for BreastCheck and other future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Direct Listing and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conducting a direct listing rather than a traditional underwritten IPO, investors face additional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not an underwritten initial public offering. This listing differs from an underwritten initial public offering in several significant ways, which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direct listing does not involve a firm commitment underwriting. Consequently, prior to the opening of trading on Nasdaq, there will be no book building process and no price at which underwriters initially sold shares to the public to help inform efficient price discovery with respect to the opening trades on Nasdaq. Therefore, buy and sell orders submitted prior to and at the opening of trading of our Ordinary Shares on Nasdaq will not have the benefit of being informed by a published price range or a price at which the underwriters initially sold shares to the public. Moreover, there will be no underwriters assuming risk in connection with the initial resale of our Ordinary Shares. Additionally, because there are no underwriters, there is no underwriters’ option to purchase additional shares to help stabilize, maintain, or affect the public price of our Ordinary Shares on Nasdaq immediately after the listing. In an underwritten initial public offering, the underwriters may engage in “covered” short sales in an amount of shares representing the underwriters’ option to purchase additional shares. To close a covered short position, the underwriters purchase shares in the open market or exercise the underwriters’ option to purchase additional shares. In determining the source of shares to close the covered short position, the underwriters typically consider, among other things, the price of shares available for purchase in the open market as compared to the price at which they may purchase shares through the underwriters’ option to purchase additional shares. Purchases in the open market to cover short positions, as well as other purchases underwriters may undertake for their own accounts, may have the effect of preventing a decline in the market price of shares. Given that there will be no underwriters’ option to purchase additional shares or otherwise underwriters in engaging in stabilizing transactions, there could be greater volatility in the public price of our Ordinary Shares during the period immediately following the listing. See also “—The public price of our Ordinary Shares may be volatile, and could, upon listing on Nasdaq, decline significantly and rapidly.”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not a fixed number of securities available for sale. Therefore, there can be no assurance that any Registered Shareholders or other existing shareholders will sell any or all of their Ordinary Shares and there may initially be a lack of supply of, or demand for, Ordinary Shares on Nasdaq. Alternatively, we may have a large number of Registered Shareholders or other existing shareholders who choose to sell their Ordinary Shares in the near-term resulting in oversupply of our Ordinary Shares, which could adversely impact the public price of our Ordinary Shares once listed on 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than management and Affiliates, none of our Registered Shareholders have entered into contractual lock-up agreements or other contractual restrictions on transfer. In an underwritten initial public offering, it is customary for an issuer’s officers, directors, and most of its other shareholders to enter into contractual lock-up arrangement with the underwriters to help promote orderly trading immediately after listing. Consequently, any of our shareholders who own our Ordinary Shares may sell any or all of their Ordinary Shares at any time (subject to any restrictions under applicable law), including immediately upon listing. If such sales were to occur in a significant quantum, it may result in an oversupply of our Ordinary Shares in the market, which could adversely impact the public price of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direct listing does not involve a firm commitment underwriting. We will not conduct a traditional “roadshow” with underwriters prior to the opening of trading on Nasdaq. Instead, we intend to host an investor day, as well as engage in certain other investor education meetings. In advance of the investor day, we will announce the date for such day over financial news outlets in a manner consistent with typical corporate outreach to investors. We will prepare an electronic presentation for this investor day, which will have content similar to a traditional roadshow presentation, and make one version of the presentation publicly available, without restriction, on a website. There can be no guarantees that the investor day and other investor education meetings will have the same impact on investor education as a traditional “roadshow” conducted in connection with an underwritten initial public offering. As a result, there may not be efficient price discovery with respect to our Ordinary Shares or sufficient demand among investors immediately after our listing, which could result in a more volatile public price of our Ordinary Shares.</w:t>
            </w:r>
          </w:p>
        </w:tc>
      </w:tr>
    </w:tbl>
    <w:p>
      <w:pPr>
        <w:pStyle w:val="TextBody"/>
        <w:bidi w:val="0"/>
        <w:spacing w:before="0" w:after="0"/>
        <w:ind w:left="0" w:right="0" w:firstLine="489"/>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differences from an underwritten initial public offering could result in a volatile market price for our Ordinary Shares and uncertain trading volume and may adversely affect your ability to sell your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public price of our Ordinary Shares may be volatile, and could, upon listing on Nasdaq, decline significantly and rapidly.</w:t>
      </w:r>
    </w:p>
    <w:p>
      <w:pPr>
        <w:pStyle w:val="TextBody"/>
        <w:bidi w:val="0"/>
        <w:spacing w:before="0" w:after="0"/>
        <w:ind w:left="0" w:right="0" w:firstLine="489"/>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This direct listing does not involve a firm commitment underwriting. As this listing is taking place via a novel process that is not an underwritten initial public offering, there will be no book building process and no price at which underwriters initially sold shares to the public to help inform efficient price discovery with respect to the opening trades on Nasdaq. Pursuant to Nasdaq Rules, all pricing is established by Nasdaq’s opening auction system, based solely on supply and demand. We have appointed Revere Securities LLC (“Revere”) as our corporate advisor and our Lead Market Maker (“LMM”) in connection with this direct listing. Revere will facilitate interactions with market participants and will assist Nasdaq in the price-discovery process during the opening auction. For more information, see “</w:t>
      </w:r>
      <w:hyperlink w:anchor="f1_02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this direct listing does not involve a firm commitment underwriting, prior to the opening trade, there will not be a price at which underwriters initially sold Ordinary Shares to the public as there would be in an underwritten initial public offering. This lack of an initial public offering price could impact the range of buy and sell orders collected by Nasdaq from various broker-dealers. Consequently, the public price of our Ordinary Shares may be more volatile than in an underwritten initial public offering and could, upon listing on Nasdaq, decline significantly and rapidly.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conduct a public offering or other capital raising transactions before or shortly after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transaction may dilute existing shareholders and adversely affect our share price. In addition, announcements relating to financings, acquisitions, litigation, or changes in financial performance may create volatility in our trading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about us, or publish unfavorable reports, our share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and trading volume of our Ordinary Shares will depend, in part, on the research and reports that securities or industry analysts publish about us and our business. We will have no control over these analysts or their content. If analysts do not cover us, if coverage is limited, or if they issue negative or inaccurate reports regarding our business, our industry, or our stock, the market price and trading volume of our Ordinary Shares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Taxation and Jurisdiction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no current plans to pay cash dividends on our Ordinary Shares, you may not receive any return on investment unless you sell your Ordinary Shares for a price greater than that which you paid for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development, commercialization and growth of our business, and therefore we do not anticipate declaring or paying any cash dividends on our Ordinary Shares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Our future ability to pay cash dividends on our Ordinary Shares may also be limited by the terms of any future debt securities or credit facility. As a result, capital appreciation, if any, of the Ordinary Shares you purchase in this offering will be your sole source of gain for the foreseeable future.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management, directors and their respective affiliates on a combined basis own a significant percentage of our outstanding shares and will be able to exert significant influence over matters subject to shareholder approval, especially if one or a few shareholders who own between 1% but less than 5% of our Ordinary Shares, vote based on their recommendations.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Registration Statement, our executive officers, directors and five percent or greater shareholders and their respective affiliates, beneficially own, in the aggregate, approximately 46% of our outstanding Ordinary Shares. To the extent that the same group continue to own a significant percentage of our Ordinary Shares following this direct listing, these shareholders, if they act together, will be able to significantly influence the management and affairs of our Company and most matters requiring shareholder approval. This concentration of ownership may prevent or discourage unsolicited acquisition proposals or offers for our Ordinary Shares that you or other shareholders may feel are in your or their best interest as one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be diluted by future issuances of additional Ordinary Shares in connection with our future adoption of an incentive plan, acquisitions or otherwise; future sales of such shares in the public market, or the expectations that such sales may occur, could lower our share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issue 225,000 shares upon its direct listing related to advisory fees, inclusive of shares to our direct listing advisor, Revere Securities LLC. This stock issuance, along with our plans to put in place a share option plan for executive officers, directors and third party service providers post listing, as well as other future business plans may require the issuance of significant additional shares including investments, acquisition of a business, the acquisition of intellectual property or financing activities. Stock issuances related to any of these activities will dilute our existing shareholders, and such dilution could be significant. Moreover, such dilution could have a material adverse effect on the market price for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United States person is treated as owning 10% or more of our shares, such holder may be subject to adverse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United States person is treated as owning (directly, indirectly, or constructively) at least 10% of the value or voting power of our shares, such person may be treated as a “United States shareholder” with respect to us and each of our controlled foreign corporation (“CFC”) subsidiaries (if any).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 information that may be necessary to comply with the above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holders of our Ordinary Shares may suffer adverse consequences if we are treated as a passive foreign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a passive foreign investment Company (“PFIC”), for any taxable year if, after the application of certain look-through rules, either: (i) 75% or more of our gross income for such year is “passive income” (as defined in the relevant provisions of the Internal Revenue Code of 1986, as amended) (the “Code”); or (ii) 50% or more of the value of our assets (generally determined on the basis of a quarterly average) during such year is attributable to assets that produce or are held for the production of passive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adverse U.S. federal income tax consequences could apply to a U.S. Holder (as defined in the section titled “Taxation—United States Federal Income Tax Considerations”) if we are treated as a PFIC for any taxable year during which such U.S. Holder holds our Ordinary Shares. U.S. Holders are urged to consult their tax advisors about the potential application of the PFIC rules to their investment in our Ordinary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Irish Company, investors may face difficulties enforcing their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Irish corporate law differs from U.S. law, and shareholder protections are less developed. In addition, most of our directors and officers reside outside the United States, making it difficult to enforce U.S.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Reporting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a material weakness for the years ended December 31, 2025, and 2024 and we may identify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consolidated financial statements requires the application of significant accounting judgments, estimates and assumptions. Changes in accounting policies, restatements to historical financial information, internal control matters, evolving accounting standards and regulatory reporting requirements may affect the comparability of our financial statements and investors' assessment of our financial condition and results of operations. In addition, we identified material weaknesses in our internal control over financial reporting for the years ended December 31, 2025, and 2024, and we may identify additional material weaknesses in the future that could cause us to fail to meet our reporting obligations or result in material misstatements of our financial statements. If we fail to remediate existing material weaknesses, identify additional weaknesses, or otherwise fail to establish and maintain effective internal control over financial reporting, our ability to accurately and timely report our financial results could be adversely affected.</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our financial statements will not be prevented or detected on a timely basis. If we identify material weaknesses in our internal control over financial reporting or fail to meet the demands placed upon us as a public company, including the requirements of the Sarbanes-Oxley Act, we may be unable to accurately report our financial results or report them within the timeframes required by applicable law or stock exchange regulations. Under Section 404 of the Sarbanes-Oxley Act, we will be required to evaluate the effectiveness of our internal control over financial reporting and provide management's assessment of those controls. Failure to maintain effective internal control over financial reporting could subject us to regulatory scrutiny, investigations or sanctions by the SEC or other regulatory authorities. In connection with the audits of our financial statements for the years ended December 31, 2025 and 2024, we and our independent auditors identified deficiencies in internal control that were determined to constitute material weaknesses. These material weaknesses contributed to the restatement of our 2024 and 2023 consolidated financial statements in 2025. We intend to remediate these weaknesses by strengthening our finance function and enhancing our internal and disclosure controls over financial reporting. However, there can be no assurance that these material weaknesses will be fully remediated, that additional material weaknesses will not be identified in the future, or that changes in accounting standards, regulatory reporting requirements or significant accounting judgments will not require further restatements to our financial reporting. Any such matters could materially and adversely affect our business, financial condition, results of operations and investor confidence.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Restatement of Historical Accounting Treatment May Affect Comparability of Our Financial Statements and Investors' Assessment of Our Financial Position</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preparation of the financial statements included in this Registration Statement, the Company Restated the historical accounting treatment applied to the February 2023 transfer of intellectual property. As a result of this restatement, the intellectual property is recognised at its predecessor carrying amount and is amortised on a straight-line basis over a finite useful economic life of ten years commencing on 6 February 2023. These restatements have resulted in changes to the carrying amount of intangible assets, accumulated amortisation, shareholders' equity, retained earnings and certain comparative financial statement balances presented in this Registration Statement.</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accounting treatment relates solely to the accounting measurement and presentation of the February 2023 transaction for the purposes of the financial statements included in this Registration Statement because the February 2023 transaction has been accounted for as a common-control transfer rather than an acquisition. It does not affect the legal ownership of the intellectual property, the validity of the underlying transaction documentation, the Company's commercial rights, planned direct manufacturing/distribution and regional third-party manufacturers/distributors arrangements or strategy for commercialising its technologies.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restatements, investors comparing the financial statements included in this Registration Statement with previously published financial statements or statutory financial statements prepared for other reporting purposes may identify differences in the accounting presentation of the February 2023 transaction and the carrying amount of the Company's intellectual property. These differences reflect the accounting policies applied in the financial statements included in this Registration Statement and should not be interpreted as indicating any change in the Company's ownership of its intellectual property, its legal rights, its business operations or its commercial prospects.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accounting treatment also results in recurring amortisation expense being recognised over the remaining useful economic life of the Company's intellectual property. Consequently, future financial statements will include non-cash amortisation charges that will reduce reported earnings in future reporting periods. In addition, the Company will continue to review the remaining useful economic life of its intellectual property and assess the assets for impairment whenever events or changes in circumstances indicate that their carrying amount may not be recoverable.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revisions to management's estimates or assumptions, or the recognition of impairment charges, could materially and adversely affect the Company's financial position, results of operations and shareholders'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qualify as an emerging growth Company and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take advantage of certain exemptions and relief from various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this prospectus and our periodic reports and proxy statements and (iv) exemptions from the requirements of holding a nonbinding advisory vote on executive compensation and shareholder approval of any golden parachute payments not previously approved. 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we have elected to take advantage of the extended transition period for complying with new or Restated accounting standards until those standards would otherwise apply to private companies. As a result, our operating results and financial statements may not be comparable to the operating results and financial statements of other companies who have adopted the new or Restated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five years from the date of our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Ordinary Shares held by non-affiliates was $700.0 million or more as of the last business day of the second fiscal quarter of such year or (iv) the date on which we have issued more than $1.0 billion in non-convertible debt securities during the prior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some investors will find our Ordinary Shares less attractive as a result of the foregoing, which may result in a less active trading market for our Ordinary Shares and higher volatility in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1_004"/>
      <w:bookmarkEnd w:id="2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solely to the registration of our Ordinary Shares in connection with a direct listing of those shares on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 not offering any shares in this Registration Statement and will not receive any proceeds from the registration or potential resale of our Ordinary Shares by the Registered Shareholders. Any future capital raises by the Company will be subject to a separate registration statement or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1_005"/>
      <w:bookmarkEnd w:id="30"/>
      <w:r>
        <w:rPr>
          <w:rFonts w:ascii="Times New Roman;Times;Serif" w:hAnsi="Times New Roman;Times;Serif"/>
          <w:b/>
          <w:i w:val="false"/>
          <w:caps w:val="false"/>
          <w:smallCaps w:val="false"/>
          <w:sz w:val="20"/>
        </w:rPr>
        <w:t>EXPENSES OF ISSUANCE AND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expenses in connection with the registration of our Ordinary Shares and the listing on the Nasdaq Global Market. All amounts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Estimated Amount (USD)</w:t>
      </w:r>
    </w:p>
    <w:p>
      <w:pPr>
        <w:pStyle w:val="TextBody"/>
        <w:bidi w:val="0"/>
        <w:spacing w:before="0" w:after="0"/>
        <w:ind w:left="0" w:right="0" w:hanging="0"/>
        <w:jc w:val="left"/>
        <w:rPr>
          <w:caps w:val="false"/>
          <w:smallCaps w:val="false"/>
        </w:rPr>
      </w:pPr>
      <w:r>
        <w:rPr>
          <w:caps w:val="false"/>
          <w:smallCaps w:val="false"/>
        </w:rPr>
        <w:t> </w:t>
      </w:r>
    </w:p>
    <w:tbl>
      <w:tblPr>
        <w:tblW w:w="3555" w:type="dxa"/>
        <w:jc w:val="left"/>
        <w:tblInd w:w="0" w:type="dxa"/>
        <w:tblLayout w:type="fixed"/>
        <w:tblCellMar>
          <w:top w:w="0" w:type="dxa"/>
          <w:left w:w="0" w:type="dxa"/>
          <w:bottom w:w="0" w:type="dxa"/>
          <w:right w:w="0" w:type="dxa"/>
        </w:tblCellMar>
      </w:tblPr>
      <w:tblGrid>
        <w:gridCol w:w="2600"/>
        <w:gridCol w:w="60"/>
        <w:gridCol w:w="125"/>
        <w:gridCol w:w="695"/>
        <w:gridCol w:w="75"/>
      </w:tblGrid>
      <w:tr>
        <w:trPr/>
        <w:tc>
          <w:tcPr>
            <w:tcW w:w="2600" w:type="dxa"/>
            <w:tcBorders/>
            <w:shd w:fill="EEEEEE" w:val="clear"/>
            <w:vAlign w:val="center"/>
          </w:tcPr>
          <w:p>
            <w:pPr>
              <w:pStyle w:val="TableContents"/>
              <w:bidi w:val="0"/>
              <w:spacing w:before="0" w:after="283"/>
              <w:jc w:val="left"/>
              <w:rPr>
                <w:sz w:val="20"/>
              </w:rPr>
            </w:pPr>
            <w:r>
              <w:rPr>
                <w:sz w:val="20"/>
              </w:rPr>
              <w:t>SEC registration fee</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sz w:val="20"/>
              </w:rPr>
            </w:pPr>
            <w:r>
              <w:rPr>
                <w:sz w:val="20"/>
              </w:rPr>
              <w:t>$</w:t>
            </w:r>
          </w:p>
        </w:tc>
        <w:tc>
          <w:tcPr>
            <w:tcW w:w="695" w:type="dxa"/>
            <w:tcBorders/>
            <w:shd w:fill="EEEEEE" w:val="clear"/>
            <w:vAlign w:val="center"/>
          </w:tcPr>
          <w:p>
            <w:pPr>
              <w:pStyle w:val="TableContents"/>
              <w:bidi w:val="0"/>
              <w:spacing w:before="0" w:after="283"/>
              <w:jc w:val="right"/>
              <w:rPr>
                <w:sz w:val="20"/>
              </w:rPr>
            </w:pPr>
            <w:r>
              <w:rPr>
                <w:sz w:val="20"/>
              </w:rPr>
              <w:t>36,900</w:t>
            </w:r>
          </w:p>
        </w:tc>
        <w:tc>
          <w:tcPr>
            <w:tcW w:w="75" w:type="dxa"/>
            <w:tcBorders/>
            <w:shd w:fill="EEEEEE"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250,000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EEEEEE" w:val="clear"/>
            <w:vAlign w:val="center"/>
          </w:tcPr>
          <w:p>
            <w:pPr>
              <w:pStyle w:val="TableContents"/>
              <w:bidi w:val="0"/>
              <w:spacing w:before="0" w:after="283"/>
              <w:jc w:val="left"/>
              <w:rPr>
                <w:sz w:val="20"/>
              </w:rPr>
            </w:pPr>
            <w:r>
              <w:rPr>
                <w:sz w:val="20"/>
              </w:rPr>
              <w:t>Direct listing advisor fees</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300,000</w:t>
            </w:r>
          </w:p>
        </w:tc>
        <w:tc>
          <w:tcPr>
            <w:tcW w:w="75" w:type="dxa"/>
            <w:tcBorders/>
            <w:shd w:fill="EEEEEE"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Transfer agent and registrar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10,000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EEEEEE" w:val="clear"/>
            <w:vAlign w:val="center"/>
          </w:tcPr>
          <w:p>
            <w:pPr>
              <w:pStyle w:val="TableContents"/>
              <w:bidi w:val="0"/>
              <w:spacing w:before="0" w:after="283"/>
              <w:jc w:val="left"/>
              <w:rPr>
                <w:sz w:val="20"/>
              </w:rPr>
            </w:pPr>
            <w:r>
              <w:rPr>
                <w:sz w:val="20"/>
              </w:rPr>
              <w:t>Nasdaq listing fee</w:t>
            </w:r>
          </w:p>
        </w:tc>
        <w:tc>
          <w:tcPr>
            <w:tcW w:w="60" w:type="dxa"/>
            <w:tcBorders/>
            <w:shd w:fill="EEEEEE" w:val="clear"/>
            <w:vAlign w:val="center"/>
          </w:tcPr>
          <w:p>
            <w:pPr>
              <w:pStyle w:val="TableContents"/>
              <w:bidi w:val="0"/>
              <w:spacing w:before="0" w:after="283"/>
              <w:jc w:val="left"/>
              <w:rPr/>
            </w:pPr>
            <w:r>
              <w:rPr/>
              <w:t> </w:t>
            </w:r>
          </w:p>
        </w:tc>
        <w:tc>
          <w:tcPr>
            <w:tcW w:w="125" w:type="dxa"/>
            <w:tcBorders/>
            <w:shd w:fill="EEEEEE" w:val="clear"/>
            <w:vAlign w:val="center"/>
          </w:tcPr>
          <w:p>
            <w:pPr>
              <w:pStyle w:val="TableContents"/>
              <w:bidi w:val="0"/>
              <w:spacing w:before="0" w:after="283"/>
              <w:jc w:val="left"/>
              <w:rPr/>
            </w:pPr>
            <w:r>
              <w:rPr/>
              <w:t> </w:t>
            </w:r>
          </w:p>
        </w:tc>
        <w:tc>
          <w:tcPr>
            <w:tcW w:w="695" w:type="dxa"/>
            <w:tcBorders/>
            <w:shd w:fill="EEEEEE" w:val="clear"/>
            <w:vAlign w:val="center"/>
          </w:tcPr>
          <w:p>
            <w:pPr>
              <w:pStyle w:val="TableContents"/>
              <w:bidi w:val="0"/>
              <w:spacing w:before="0" w:after="283"/>
              <w:jc w:val="right"/>
              <w:rPr>
                <w:sz w:val="20"/>
              </w:rPr>
            </w:pPr>
            <w:r>
              <w:rPr>
                <w:sz w:val="20"/>
              </w:rPr>
              <w:t>295,000</w:t>
            </w:r>
          </w:p>
        </w:tc>
        <w:tc>
          <w:tcPr>
            <w:tcW w:w="75" w:type="dxa"/>
            <w:tcBorders/>
            <w:shd w:fill="EEEEEE"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sz w:val="20"/>
              </w:rPr>
            </w:pPr>
            <w:r>
              <w:rPr>
                <w:sz w:val="20"/>
              </w:rPr>
              <w:t>Printing and filing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5,000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EEEEEE" w:val="clear"/>
            <w:vAlign w:val="center"/>
          </w:tcPr>
          <w:p>
            <w:pPr>
              <w:pStyle w:val="TableContents"/>
              <w:bidi w:val="0"/>
              <w:spacing w:before="0" w:after="283"/>
              <w:jc w:val="left"/>
              <w:rPr>
                <w:sz w:val="20"/>
              </w:rPr>
            </w:pPr>
            <w:r>
              <w:rPr>
                <w:sz w:val="20"/>
              </w:rPr>
              <w:t>Miscellaneous</w:t>
            </w:r>
          </w:p>
        </w:tc>
        <w:tc>
          <w:tcPr>
            <w:tcW w:w="60" w:type="dxa"/>
            <w:tcBorders/>
            <w:shd w:fill="EEEEEE" w:val="clear"/>
            <w:vAlign w:val="center"/>
          </w:tcPr>
          <w:p>
            <w:pPr>
              <w:pStyle w:val="TableContents"/>
              <w:bidi w:val="0"/>
              <w:spacing w:before="0" w:after="283"/>
              <w:jc w:val="left"/>
              <w:rPr/>
            </w:pPr>
            <w:r>
              <w:rPr/>
              <w:t> </w:t>
            </w:r>
          </w:p>
        </w:tc>
        <w:tc>
          <w:tcPr>
            <w:tcW w:w="12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EEEEEE" w:val="clear"/>
            <w:tcMar>
              <w:bottom w:w="28" w:type="dxa"/>
            </w:tcMar>
            <w:vAlign w:val="center"/>
          </w:tcPr>
          <w:p>
            <w:pPr>
              <w:pStyle w:val="TableContents"/>
              <w:bidi w:val="0"/>
              <w:spacing w:before="0" w:after="283"/>
              <w:jc w:val="right"/>
              <w:rPr>
                <w:sz w:val="20"/>
              </w:rPr>
            </w:pPr>
            <w:r>
              <w:rPr>
                <w:sz w:val="20"/>
              </w:rPr>
              <w:t>25,000</w:t>
            </w:r>
          </w:p>
        </w:tc>
        <w:tc>
          <w:tcPr>
            <w:tcW w:w="75" w:type="dxa"/>
            <w:tcBorders/>
            <w:shd w:fill="EEEEEE"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921,900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cash expenses will be funded through continued advances from Malbrite Ltd. or through cash on hand. See financing arrangements entered into during the first quarter of 2026, under “Capital Transactions and Commitments” in Management’s Discussion and Analysis section.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Malbrite Ltd is wholly owned and controlled by our Chief Executive Officer, Jack Kaye. As a result, these funding arrangements represent related-party transactions. Advances are non-interest-bearing, unsecured, and repayable only upon completion of a future capital raise. The dual role of Mr. Kaye as both CEO of Davion Healthcare Plc and owner of Malbrite Ltd may create potential conflicts of interest in respect of the Company’s financing arrangements. Malbrite Ltd is not and never has been a shareholder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a letter of financial support from Malbrite Ltd was provided to WithumSmith+ Brown, the Company’s PCAOB auditor, confirming the continuing ongoing financial support of Malbrite Ltd to the Company, a copy of which is filed as Exhibit 99.4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1_006"/>
      <w:bookmarkEnd w:id="31"/>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registration, the payment of dividends will be at the discretion of our board of directors, subject to certain requirements of Ireland law. In addition, our shareholders may by ordinary resolution declare a dividend, but no dividend may exceed the amount recommended by our board of directors. In either case, all dividends are subject to certain restrictions under Ireland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present plan to pay any cash dividends on our Ordinary Shares in the foreseeable future after this registration. We currently intend to retain most, if not all, of our available funds and any future earnings to operate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f1_007"/>
      <w:bookmarkEnd w:id="32"/>
      <w:r>
        <w:rPr>
          <w:rFonts w:ascii="Times New Roman;Times;Serif" w:hAnsi="Times New Roman;Times;Serif"/>
          <w:b/>
          <w:i w:val="false"/>
          <w:caps w:val="false"/>
          <w:smallCaps w:val="false"/>
          <w:sz w:val="20"/>
        </w:rPr>
        <w:t>CAPITALIZATION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capitalization of Davion Healthcare Plc as of December 31, 2025:</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on an actual basis, derived from the Company's audited consolidated financial statements as restated;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on an unaudited pro forma basis, giving effect to (i) the completion of our direct listing on Nasdaq, (ii) the issuance of 125,000 Ordinary Shares to our listing advisor and the related $200,000 cash advisory fee and $100,000 expense reimbursement payable upon completion of the listing, and (iii) the payment of approximately $621,900 in estimated additional costs and professional fees attributable to the listing.</w:t>
            </w:r>
          </w:p>
        </w:tc>
      </w:tr>
    </w:tbl>
    <w:p>
      <w:pPr>
        <w:pStyle w:val="TextBody"/>
        <w:bidi w:val="0"/>
        <w:spacing w:before="7" w:after="7"/>
        <w:ind w:left="7" w:right="7"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presentation, total estimated cash listing expenses of €890,555 are first applied against available cash of €1,058, with the remaining €889,497 assumed to be funded through additional advances from related parties. The 125,000 Ordinary Shares to be issued to the listing advisor have been valued at $12.00 per share, equivalent to €1,449,000, consistent with the assumptions previously used in this prospectus.</w:t>
      </w:r>
    </w:p>
    <w:p>
      <w:pPr>
        <w:pStyle w:val="TextBody"/>
        <w:bidi w:val="0"/>
        <w:spacing w:before="7" w:after="7"/>
        <w:ind w:left="7" w:right="7" w:hanging="0"/>
        <w:jc w:val="left"/>
        <w:rPr>
          <w:caps w:val="false"/>
          <w:smallCaps w:val="false"/>
        </w:rPr>
      </w:pPr>
      <w:r>
        <w:rPr>
          <w:caps w:val="false"/>
          <w:smallCaps w:val="false"/>
        </w:rPr>
        <w:t> </w:t>
      </w:r>
    </w:p>
    <w:p>
      <w:pPr>
        <w:pStyle w:val="TextBody"/>
        <w:bidi w:val="0"/>
        <w:ind w:left="0" w:right="0" w:firstLine="360"/>
        <w:jc w:val="both"/>
        <w:rPr/>
      </w:pPr>
      <w:r>
        <w:rPr>
          <w:rFonts w:ascii="Times New Roman;Times;Serif" w:hAnsi="Times New Roman;Times;Serif"/>
          <w:b w:val="false"/>
          <w:i w:val="false"/>
          <w:caps w:val="false"/>
          <w:smallCaps w:val="false"/>
          <w:sz w:val="20"/>
        </w:rPr>
        <w:t>This information should be read together with our consolidated financial statements, as restated, and the related notes included elsewhere in this prospectus, as well as “</w:t>
      </w:r>
      <w:hyperlink w:anchor="f1_0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r>
        <w:rPr>
          <w:rFonts w:ascii="Times New Roman;Times;Serif" w:hAnsi="Times New Roman;Times;Serif"/>
          <w:b w:val="false"/>
          <w:i w:val="false"/>
          <w:caps w:val="false"/>
          <w:smallCaps w:val="false"/>
          <w:sz w:val="20"/>
        </w:rPr>
        <w:t>.” The unaudited pro forma information is presented for illustrative purposes only and does not purport to represent our actual financial position or results of operations had these events occurred on the dates indicated.</w:t>
      </w:r>
    </w:p>
    <w:p>
      <w:pPr>
        <w:pStyle w:val="TextBody"/>
        <w:bidi w:val="0"/>
        <w:ind w:left="0" w:right="0" w:firstLine="360"/>
        <w:jc w:val="both"/>
        <w:rPr>
          <w:caps w:val="false"/>
          <w:smallCaps w:val="false"/>
        </w:rPr>
      </w:pPr>
      <w:r>
        <w:rPr>
          <w:caps w:val="false"/>
          <w:smallCaps w:val="false"/>
        </w:rPr>
        <w:t> </w:t>
      </w:r>
    </w:p>
    <w:tbl>
      <w:tblPr>
        <w:tblW w:w="7913" w:type="dxa"/>
        <w:jc w:val="left"/>
        <w:tblInd w:w="0" w:type="dxa"/>
        <w:tblLayout w:type="fixed"/>
        <w:tblCellMar>
          <w:top w:w="0" w:type="dxa"/>
          <w:left w:w="0" w:type="dxa"/>
          <w:bottom w:w="0" w:type="dxa"/>
          <w:right w:w="0" w:type="dxa"/>
        </w:tblCellMar>
      </w:tblPr>
      <w:tblGrid>
        <w:gridCol w:w="3680"/>
        <w:gridCol w:w="60"/>
        <w:gridCol w:w="229"/>
        <w:gridCol w:w="1725"/>
        <w:gridCol w:w="95"/>
        <w:gridCol w:w="60"/>
        <w:gridCol w:w="208"/>
        <w:gridCol w:w="1746"/>
        <w:gridCol w:w="110"/>
      </w:tblGrid>
      <w:tr>
        <w:trPr/>
        <w:tc>
          <w:tcPr>
            <w:tcW w:w="3680" w:type="dxa"/>
            <w:tcBorders/>
            <w:vAlign w:val="center"/>
          </w:tcPr>
          <w:p>
            <w:pPr>
              <w:pStyle w:val="TableContents"/>
              <w:bidi w:val="0"/>
              <w:spacing w:before="0" w:after="283"/>
              <w:jc w:val="left"/>
              <w:rPr>
                <w:b/>
              </w:rPr>
            </w:pPr>
            <w:r>
              <w:rPr>
                <w:b/>
              </w:rPr>
              <w:t>Pro Forma Capitalization</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 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11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Cash and cash equivalents</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725" w:type="dxa"/>
            <w:tcBorders/>
            <w:shd w:fill="EEEEEE" w:val="clear"/>
            <w:vAlign w:val="center"/>
          </w:tcPr>
          <w:p>
            <w:pPr>
              <w:pStyle w:val="TableContents"/>
              <w:bidi w:val="0"/>
              <w:spacing w:before="0" w:after="283"/>
              <w:jc w:val="right"/>
              <w:rPr/>
            </w:pPr>
            <w:r>
              <w:rPr/>
              <w:t>1,058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746"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Advances from related parties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725" w:type="dxa"/>
            <w:tcBorders/>
            <w:shd w:fill="FFFFFF" w:val="clear"/>
            <w:vAlign w:val="center"/>
          </w:tcPr>
          <w:p>
            <w:pPr>
              <w:pStyle w:val="TableContents"/>
              <w:bidi w:val="0"/>
              <w:spacing w:before="0" w:after="283"/>
              <w:jc w:val="right"/>
              <w:rPr/>
            </w:pPr>
            <w:r>
              <w:rPr/>
              <w:t>907,671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746" w:type="dxa"/>
            <w:tcBorders/>
            <w:shd w:fill="FFFFFF" w:val="clear"/>
            <w:vAlign w:val="center"/>
          </w:tcPr>
          <w:p>
            <w:pPr>
              <w:pStyle w:val="TableContents"/>
              <w:bidi w:val="0"/>
              <w:spacing w:before="0" w:after="283"/>
              <w:jc w:val="right"/>
              <w:rPr/>
            </w:pPr>
            <w:r>
              <w:rPr/>
              <w:t>1,797,168</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Short-term and long-term debt</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72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746"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Share capital 25,000,000 shares @ .01</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w:t>
            </w:r>
          </w:p>
        </w:tc>
        <w:tc>
          <w:tcPr>
            <w:tcW w:w="1725" w:type="dxa"/>
            <w:tcBorders/>
            <w:shd w:fill="EEEEEE" w:val="clear"/>
            <w:vAlign w:val="center"/>
          </w:tcPr>
          <w:p>
            <w:pPr>
              <w:pStyle w:val="TableContents"/>
              <w:bidi w:val="0"/>
              <w:spacing w:before="0" w:after="283"/>
              <w:jc w:val="right"/>
              <w:rPr/>
            </w:pPr>
            <w:r>
              <w:rPr/>
              <w:t>250,000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746" w:type="dxa"/>
            <w:tcBorders/>
            <w:shd w:fill="EEEEEE" w:val="clear"/>
            <w:vAlign w:val="center"/>
          </w:tcPr>
          <w:p>
            <w:pPr>
              <w:pStyle w:val="TableContents"/>
              <w:bidi w:val="0"/>
              <w:spacing w:before="0" w:after="283"/>
              <w:jc w:val="right"/>
              <w:rPr/>
            </w:pPr>
            <w:r>
              <w:rPr/>
              <w:t>251,250</w:t>
            </w:r>
          </w:p>
        </w:tc>
        <w:tc>
          <w:tcPr>
            <w:tcW w:w="110" w:type="dxa"/>
            <w:tcBorders/>
            <w:shd w:fill="EEEEEE"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9,395,382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10,843,132</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Deficit</w:t>
            </w:r>
          </w:p>
        </w:tc>
        <w:tc>
          <w:tcPr>
            <w:tcW w:w="60" w:type="dxa"/>
            <w:tcBorders/>
            <w:shd w:fill="EEEEEE" w:val="clear"/>
            <w:vAlign w:val="center"/>
          </w:tcPr>
          <w:p>
            <w:pPr>
              <w:pStyle w:val="TableContents"/>
              <w:bidi w:val="0"/>
              <w:spacing w:before="0" w:after="283"/>
              <w:jc w:val="left"/>
              <w:rPr/>
            </w:pPr>
            <w:r>
              <w:rPr/>
              <w:t> </w:t>
            </w:r>
          </w:p>
        </w:tc>
        <w:tc>
          <w:tcPr>
            <w:tcW w:w="22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EEEEEE" w:val="clear"/>
            <w:tcMar>
              <w:bottom w:w="28" w:type="dxa"/>
            </w:tcMar>
            <w:vAlign w:val="center"/>
          </w:tcPr>
          <w:p>
            <w:pPr>
              <w:pStyle w:val="TableContents"/>
              <w:bidi w:val="0"/>
              <w:spacing w:before="0" w:after="283"/>
              <w:jc w:val="right"/>
              <w:rPr/>
            </w:pPr>
            <w:r>
              <w:rPr/>
              <w:t>(8,316,348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EEEEEE" w:val="clear"/>
            <w:tcMar>
              <w:bottom w:w="28" w:type="dxa"/>
            </w:tcMar>
            <w:vAlign w:val="center"/>
          </w:tcPr>
          <w:p>
            <w:pPr>
              <w:pStyle w:val="TableContents"/>
              <w:bidi w:val="0"/>
              <w:spacing w:before="0" w:after="283"/>
              <w:jc w:val="right"/>
              <w:rPr/>
            </w:pPr>
            <w:r>
              <w:rPr/>
              <w:t>(10,655,903</w:t>
            </w:r>
          </w:p>
        </w:tc>
        <w:tc>
          <w:tcPr>
            <w:tcW w:w="110" w:type="dxa"/>
            <w:tcBorders/>
            <w:shd w:fill="EEEEEE" w:val="clear"/>
            <w:vAlign w:val="center"/>
          </w:tcPr>
          <w:p>
            <w:pPr>
              <w:pStyle w:val="TableContents"/>
              <w:bidi w:val="0"/>
              <w:spacing w:before="0" w:after="283"/>
              <w:jc w:val="left"/>
              <w:rPr/>
            </w:pPr>
            <w:r>
              <w:rPr/>
              <w:t>)</w:t>
            </w:r>
          </w:p>
        </w:tc>
      </w:tr>
      <w:tr>
        <w:trPr/>
        <w:tc>
          <w:tcPr>
            <w:tcW w:w="368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25" w:type="dxa"/>
            <w:tcBorders>
              <w:bottom w:val="single" w:sz="8" w:space="0" w:color="000000"/>
            </w:tcBorders>
            <w:shd w:fill="FFFFFF" w:val="clear"/>
            <w:tcMar>
              <w:bottom w:w="28" w:type="dxa"/>
            </w:tcMar>
            <w:vAlign w:val="center"/>
          </w:tcPr>
          <w:p>
            <w:pPr>
              <w:pStyle w:val="TableContents"/>
              <w:bidi w:val="0"/>
              <w:spacing w:before="0" w:after="283"/>
              <w:jc w:val="right"/>
              <w:rPr/>
            </w:pPr>
            <w:r>
              <w:rPr/>
              <w:t>1,329,034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pPr>
            <w:r>
              <w:rPr/>
              <w:t>438,479</w:t>
            </w:r>
          </w:p>
        </w:tc>
        <w:tc>
          <w:tcPr>
            <w:tcW w:w="110" w:type="dxa"/>
            <w:tcBorders/>
            <w:shd w:fill="FFFFFF" w:val="clear"/>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9" w:type="dxa"/>
            <w:tcBorders/>
            <w:shd w:fill="EEEEEE" w:val="clear"/>
            <w:vAlign w:val="center"/>
          </w:tcPr>
          <w:p>
            <w:pPr>
              <w:pStyle w:val="TableContents"/>
              <w:bidi w:val="0"/>
              <w:spacing w:before="0" w:after="283"/>
              <w:jc w:val="left"/>
              <w:rPr/>
            </w:pPr>
            <w:r>
              <w:rPr/>
              <w:t> </w:t>
            </w:r>
          </w:p>
        </w:tc>
        <w:tc>
          <w:tcPr>
            <w:tcW w:w="172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746"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Total capitalization</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2,236,705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2,235,647</w:t>
            </w:r>
          </w:p>
        </w:tc>
        <w:tc>
          <w:tcPr>
            <w:tcW w:w="110" w:type="dxa"/>
            <w:tcBorders/>
            <w:shd w:fill="FFFFFF" w:val="clear"/>
            <w:vAlign w:val="center"/>
          </w:tcPr>
          <w:p>
            <w:pPr>
              <w:pStyle w:val="TableContents"/>
              <w:bidi w:val="0"/>
              <w:spacing w:before="0" w:after="283"/>
              <w:jc w:val="left"/>
              <w:rPr/>
            </w:pPr>
            <w:r>
              <w:rPr/>
              <w:t> </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pro forma basic and diluted loss per share for the year ended December 31, 2025, giving effect to the issuance of 125,000 advisory shares valued at $12.00 per share, or €1,449,000, and the estimated cash listing expenses of €890,555, as if such transactions had occurred on January 1, 2025.</w:t>
      </w:r>
    </w:p>
    <w:p>
      <w:pPr>
        <w:pStyle w:val="TextBody"/>
        <w:bidi w:val="0"/>
        <w:spacing w:before="7" w:after="1"/>
        <w:ind w:left="7" w:right="7"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basic and diluted loss per share is calculated using a pro forma net loss of €3,468,362 and 25,125,000 weighted-average Ordinary Shares outstanding. Diluted loss per share equals basic loss per share because the Company reported a net loss and any potentially dilutive instruments would therefore be anti-dilutive.</w:t>
      </w:r>
    </w:p>
    <w:p>
      <w:pPr>
        <w:pStyle w:val="TextBody"/>
        <w:bidi w:val="0"/>
        <w:ind w:left="0" w:right="0" w:firstLine="360"/>
        <w:jc w:val="both"/>
        <w:rPr>
          <w:caps w:val="false"/>
          <w:smallCaps w:val="false"/>
        </w:rPr>
      </w:pPr>
      <w:r>
        <w:rPr>
          <w:caps w:val="false"/>
          <w:smallCaps w:val="false"/>
        </w:rPr>
        <w:t> </w:t>
      </w:r>
    </w:p>
    <w:tbl>
      <w:tblPr>
        <w:tblW w:w="8093" w:type="dxa"/>
        <w:jc w:val="left"/>
        <w:tblInd w:w="0" w:type="dxa"/>
        <w:tblLayout w:type="fixed"/>
        <w:tblCellMar>
          <w:top w:w="0" w:type="dxa"/>
          <w:left w:w="0" w:type="dxa"/>
          <w:bottom w:w="0" w:type="dxa"/>
          <w:right w:w="0" w:type="dxa"/>
        </w:tblCellMar>
      </w:tblPr>
      <w:tblGrid>
        <w:gridCol w:w="3965"/>
        <w:gridCol w:w="60"/>
        <w:gridCol w:w="456"/>
        <w:gridCol w:w="1693"/>
        <w:gridCol w:w="95"/>
        <w:gridCol w:w="60"/>
        <w:gridCol w:w="353"/>
        <w:gridCol w:w="1301"/>
        <w:gridCol w:w="110"/>
      </w:tblGrid>
      <w:tr>
        <w:trPr/>
        <w:tc>
          <w:tcPr>
            <w:tcW w:w="3965" w:type="dxa"/>
            <w:tcBorders/>
            <w:vAlign w:val="center"/>
          </w:tcPr>
          <w:p>
            <w:pPr>
              <w:pStyle w:val="TableContents"/>
              <w:bidi w:val="0"/>
              <w:spacing w:before="0" w:after="283"/>
              <w:jc w:val="left"/>
              <w:rPr>
                <w:b/>
              </w:rPr>
            </w:pPr>
            <w:r>
              <w:rPr>
                <w:b/>
              </w:rPr>
              <w:t>Pro Forma Loss Per Share</w:t>
            </w:r>
          </w:p>
        </w:tc>
        <w:tc>
          <w:tcPr>
            <w:tcW w:w="60"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 EPS 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EPS</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965" w:type="dxa"/>
            <w:tcBorders/>
            <w:shd w:fill="EEEEEE" w:val="clear"/>
            <w:vAlign w:val="center"/>
          </w:tcPr>
          <w:p>
            <w:pPr>
              <w:pStyle w:val="TableContents"/>
              <w:bidi w:val="0"/>
              <w:spacing w:before="0" w:after="283"/>
              <w:jc w:val="left"/>
              <w:rPr>
                <w:b/>
              </w:rPr>
            </w:pPr>
            <w:r>
              <w:rPr>
                <w:b/>
              </w:rPr>
              <w:t>For the year ended December 31, 2025</w:t>
            </w:r>
          </w:p>
        </w:tc>
        <w:tc>
          <w:tcPr>
            <w:tcW w:w="60" w:type="dxa"/>
            <w:tcBorders/>
            <w:shd w:fill="EEEEEE" w:val="clear"/>
            <w:vAlign w:val="center"/>
          </w:tcPr>
          <w:p>
            <w:pPr>
              <w:pStyle w:val="TableContents"/>
              <w:bidi w:val="0"/>
              <w:spacing w:before="0" w:after="283"/>
              <w:jc w:val="left"/>
              <w:rPr/>
            </w:pPr>
            <w:r>
              <w:rPr/>
              <w:t> </w:t>
            </w:r>
          </w:p>
        </w:tc>
        <w:tc>
          <w:tcPr>
            <w:tcW w:w="456" w:type="dxa"/>
            <w:tcBorders/>
            <w:shd w:fill="EEEEEE" w:val="clear"/>
            <w:vAlign w:val="center"/>
          </w:tcPr>
          <w:p>
            <w:pPr>
              <w:pStyle w:val="TableContents"/>
              <w:bidi w:val="0"/>
              <w:spacing w:before="0" w:after="283"/>
              <w:jc w:val="left"/>
              <w:rPr/>
            </w:pPr>
            <w:r>
              <w:rPr/>
              <w:t>€</w:t>
            </w:r>
          </w:p>
        </w:tc>
        <w:tc>
          <w:tcPr>
            <w:tcW w:w="1693" w:type="dxa"/>
            <w:tcBorders/>
            <w:shd w:fill="EEEEEE" w:val="clear"/>
            <w:vAlign w:val="center"/>
          </w:tcPr>
          <w:p>
            <w:pPr>
              <w:pStyle w:val="TableContents"/>
              <w:bidi w:val="0"/>
              <w:spacing w:before="0" w:after="283"/>
              <w:jc w:val="right"/>
              <w:rPr>
                <w:b/>
              </w:rPr>
            </w:pPr>
            <w:r>
              <w:rPr>
                <w:b/>
              </w:rPr>
              <w:t>(0.05</w:t>
            </w:r>
          </w:p>
        </w:tc>
        <w:tc>
          <w:tcPr>
            <w:tcW w:w="95" w:type="dxa"/>
            <w:tcBorders/>
            <w:shd w:fill="EEEEEE" w:val="clear"/>
            <w:vAlign w:val="center"/>
          </w:tcPr>
          <w:p>
            <w:pPr>
              <w:pStyle w:val="TableContents"/>
              <w:bidi w:val="0"/>
              <w:spacing w:before="0" w:after="283"/>
              <w:jc w:val="left"/>
              <w:rPr>
                <w:b/>
              </w:rPr>
            </w:pPr>
            <w:r>
              <w:rPr>
                <w:b/>
              </w:rPr>
              <w:t>)</w:t>
            </w:r>
          </w:p>
        </w:tc>
        <w:tc>
          <w:tcPr>
            <w:tcW w:w="60" w:type="dxa"/>
            <w:tcBorders/>
            <w:shd w:fill="EEEEEE" w:val="clear"/>
            <w:vAlign w:val="center"/>
          </w:tcPr>
          <w:p>
            <w:pPr>
              <w:pStyle w:val="TableContents"/>
              <w:bidi w:val="0"/>
              <w:spacing w:before="0" w:after="283"/>
              <w:jc w:val="left"/>
              <w:rPr/>
            </w:pPr>
            <w:r>
              <w:rPr/>
              <w:t> </w:t>
            </w:r>
          </w:p>
        </w:tc>
        <w:tc>
          <w:tcPr>
            <w:tcW w:w="353" w:type="dxa"/>
            <w:tcBorders/>
            <w:shd w:fill="EEEEEE" w:val="clear"/>
            <w:vAlign w:val="center"/>
          </w:tcPr>
          <w:p>
            <w:pPr>
              <w:pStyle w:val="TableContents"/>
              <w:bidi w:val="0"/>
              <w:spacing w:before="0" w:after="283"/>
              <w:jc w:val="left"/>
              <w:rPr/>
            </w:pPr>
            <w:r>
              <w:rPr/>
              <w:t>€</w:t>
            </w:r>
          </w:p>
        </w:tc>
        <w:tc>
          <w:tcPr>
            <w:tcW w:w="1301" w:type="dxa"/>
            <w:tcBorders/>
            <w:shd w:fill="EEEEEE" w:val="clear"/>
            <w:vAlign w:val="center"/>
          </w:tcPr>
          <w:p>
            <w:pPr>
              <w:pStyle w:val="TableContents"/>
              <w:bidi w:val="0"/>
              <w:spacing w:before="0" w:after="283"/>
              <w:jc w:val="right"/>
              <w:rPr>
                <w:b/>
              </w:rPr>
            </w:pPr>
            <w:r>
              <w:rPr>
                <w:b/>
              </w:rPr>
              <w:t>(0.14</w:t>
            </w:r>
          </w:p>
        </w:tc>
        <w:tc>
          <w:tcPr>
            <w:tcW w:w="110" w:type="dxa"/>
            <w:tcBorders/>
            <w:shd w:fill="EEEEEE" w:val="clear"/>
            <w:vAlign w:val="center"/>
          </w:tcPr>
          <w:p>
            <w:pPr>
              <w:pStyle w:val="TableContents"/>
              <w:bidi w:val="0"/>
              <w:spacing w:before="0" w:after="283"/>
              <w:jc w:val="left"/>
              <w:rPr>
                <w:b/>
              </w:rPr>
            </w:pPr>
            <w:r>
              <w:rPr>
                <w:b/>
              </w:rPr>
              <w:t>)</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to Unaudited Pro Forma Information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Basis of Presentation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Prepared in accordance with IFRS as issued by the IASB (including IAS 33, IAS 32 and IFRS 2). Adjustments reflect transactions directly attributable to the direct listing that are factually supportable and expected to have a continuing effect.</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Advisor Compensation and Expense Reimbursement</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direct listing, we will compensate our direct listing advisor, Revere Securities LLC, as follows: (i) a cash fee of $200,000 payable upon completion, (ii) reimbursement of $100,000 of listing-related expenses, and (iii) issuance of 125,000 Ordinary Shares valued at $12 per share (total fair value $1.5 million). The shares are recognized as a non-cash share-based compensation expense under IFRS 2. The cash fee and reimbursable expenses do not qualify as costs directly related an equity issuance of securities under IAS 32.35 as new shares are not being issued, and are therefore expensed. The 125,000 shares are included in pro forma capitalization and weighted-average shares for EPS.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Estimated Listing and Professional Fees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direct listing and professional fees of approximately $621,900 (legal, accounting, exchange and advisory costs), are expensed under IAS 32 as no new equity shares are being issued in the direct listing. Audit fees for historical financial statements are expensed in the period incurred and not treated as direct listing costs.</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Earnings Per Share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basic and diluted loss per share reflect the weighted-average shares outstanding including the 125,000 advisor shares. Diluted loss per share equals basic loss per share as potential dilutive instruments are anti-dilutive given our net loss position.</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Limitation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is presented for illustrative purposes only and does not necessarily represent actual results that would have occurred had the direct listing been completed on the assumed dates.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33" w:name="f1_008"/>
      <w:bookmarkEnd w:id="33"/>
      <w:r>
        <w:rPr>
          <w:rFonts w:ascii="Times New Roman;Times;Serif" w:hAnsi="Times New Roman;Times;Serif"/>
          <w:b/>
          <w:i w:val="false"/>
          <w:caps w:val="false"/>
          <w:smallCaps w:val="false"/>
          <w:sz w:val="20"/>
        </w:rPr>
        <w:t>DILUTION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solely to a direct listing of the Company’s Ordinary Shares, and no new securities are being offered or sold by the Company. As part of the direct listing, the Company is issuing Revere 0.5% of our outstanding Ordinary Shares, or 125,000 shares, on the date of the direct listing, along with $200,000 of cash and up to $100,000 for reimbursement of expenses. As such, there will be dilution to existing shareholders upon completion of the direct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following the listing, through a registered public offering or other financing transactions. Any such offering would be subject to separate registration or exemption from registration under U.S.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 w:name="f1_009"/>
      <w:bookmarkEnd w:id="34"/>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and presentational currency is the Euro. However, the Company’s business is also conducted in other currencies such as $ USD and £ GBP, therefore certain amounts will need to be remeasured into Euros. Due to changes in exchange rates fluctuations, this could lead to changes in the Company’s reported consolidated financial results from period to period. Among the factors that may affect currency values are trade balances, levels of short-term interest rates, difference in relative values of similar assets in different currencies, long term opportunities for investments and capital appreciation and political or regulatory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f1_010"/>
      <w:bookmarkEnd w:id="35"/>
      <w:r>
        <w:rPr>
          <w:rFonts w:ascii="Times New Roman;Times;Serif" w:hAnsi="Times New Roman;Times;Serif"/>
          <w:b/>
          <w:i w:val="false"/>
          <w:caps w:val="false"/>
          <w:smallCaps w:val="false"/>
          <w:sz w:val="20"/>
        </w:rPr>
        <w:t>CORPORATE HISTORY AND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(“Cyprus”) was incorporated in the Republic of Cyprus on November 29, 2022 with an initial issue of 12,258,458 Ordinary Shares, along with a further 7,741,542 Ordinary Shares being issued in 2023, and an additional 5,000,000 Ordinary Shares issued in 2024, resulting in a total of 25,000,000 subsequently issued and outstanding as at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intellectual property was transferred from Davion Healthcare Ltd (United Kingdom) to Davion Healthcare Plc (Cyprus).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consolidated financial statements included in this Restated Registration Statement, the transfer has been accounted for as a transfer of assets between entities under common control. Accordingly, the intellectual property has been recognised at the predecessor carrying amount reflected in the books and records of the UK company immediately prior to the transfer, rather than at a new acquisition value. This accounting treatment is consistent with the accounting policies described in the accompanying consolidated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did not give rise to the recognition of a new acquisition for accounting purposes and did not result in the recognition of a new fair value for the intellectual property. The accounting carrying amount recognised in these consolidated financial statements therefore represents the predecessor carrying value of the intellectual property and should not be interpreted as representing its current market value or commercial value.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formed part of the historical transactioning of the Group's intellectual property ownership and did not affect the Company's legal ownership of the intellectual property, its commercial rights, patent portfolio, licensing arrangements or strategy for the future development and commercialisation of its technologies.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intellectual property transfer, on 8 June 2023 the Company issued 3,741,542 Ordinary Shares to six of the original Cyprus shareholders (excluding the Chief Executive Officer) as part of the agreed reorganisation of shareholder interests. On 11 October 2023, the Company issued a further 4,000,000 Ordinary Shares to complete the reorganisation and rebalancing of shareholder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in June 2024 of 5,000,000 related to the conversion of debt to equity at a conversion of one share for every $10 of debt and also for payment in equity rather than cash to some providers of services to the Cyprus based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transactions are exempt from U.S. Securities Act registration, as they were conducted outside of the United States, and in accordance with Cyprus law and UK law at the time of the transaction. No direct selling took place that targeted the U.S. market, and in fact no direct selling took place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Davion Healthcare Plc. was incorporated in Ireland. In December 2024, a restructuring occurred with the shareholders of Cyprus, exchanging their shares for the same number of shares in Davion Healthcare Plc. making Cyprus a wholly owned subsidiary. Since both companies were under common control, this transaction was treated similar to a “reverse merger” with the combination of both entities at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comprised of Davion Healthcare Plc. and its wholly owned subsidiary, Cyprus, give effect to the restructuring as if it occurred on January 1, 2023. Since Cyprus was inactive when formed, there were no transactions recognized for the period November 29, 2022 (inception) through December 31,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is a healthcare Company focusing on the development and commercialization of non-invasive home tests for the early indication of potential health anomalies.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used third party research and development (Universities and specialized companies) together with outsourced manufacturing and design, to make products, which are then patented (where applicable), manufactured, sold and internationally distributed through planned direct manufacturing/distribution and regional third-party manufacturers/distributors agreements. In the future development pipeline, there is a range of other non-invasive home tests covering a wide variety of medical conditions which the Company expects to roll out over the next few years. However, currently no third party research and development work is taking place as the four home tests are market ready and the Company is focusing on commercialization for the time being.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product as being “market ready,” we mean that the product design, specifications, and manufacturing processes have been completed, and that manufacturing could commence immediately if required. The term does not refer to the completion of all regulatory filings or approvals in every jurisdiction.</w:t>
      </w:r>
    </w:p>
    <w:p>
      <w:pPr>
        <w:pStyle w:val="TextBody"/>
        <w:bidi w:val="0"/>
        <w:spacing w:before="0" w:after="0"/>
        <w:ind w:left="380" w:right="0" w:firstLine="315"/>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have completed applicable Class I medical device self-declaration and registration or notification requirements in their initial target markets, the USA and Europe, and are commercially prepared for launch.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ThermaDerm and Testic, the remaining regulatory step prior to commercial launch in any particular country is the filing of a manufacturer’s self-declaration of conformity for a Class I medical device and the required registration or notification with the relevant regulatory authority in the country of intended distribution. These filings are generally exempt from premarket notification (510(k)) requirements. However, regulatory authorities may, on a post-market basis, request additional information to confirm the Company’s stated device classification and, in some cases, may require further testing or product modifications.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business develops, we may need to modify our business model or change our services and solutions. These changes may not achieve expected results, which could have a material adverse effect on our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may be unable to keep up with changes in product technology and, as a result, our competitiveness may suffer. Our research and development efforts may not be sufficient to adapt to changes in electric product technology. As technologies change, we plan to upgrade or adapt BreastCheck and introduce new models in order to continue to provide BreastCheck with the latest technology, which could involve substantial costs and lower our return on investment for existing BreastCheck. There can be no assurance that we will be able to compete effectively with alternative BreastCheck or source and integrate the latest technology into BreastCheck, against the backdrop of our rapidly evolving industry. Even if we are able to keep pace with changes in technology and develop new models, we are subject to the risk that our prior models will become obsolete more quickly than expected, potentially reducing our return on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established Davion Healthcare Ltd (UK) as a wholly owned subsidiary in the United Kingdom. Davion Healthcare Ltd (UK) subsequently established Davion Healthcare Finance Ltd as its wholly owned subsidiary. Davion Healthcare Finance Ltd was established to support the Group's acquisition financing strategy and is intended to act as issuer in connection with a proposed institutional corporate bond programme. As of the date of this Registration Statement, the bond programme has not commenced and no bonds have been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should submit any inquiries to the address and telephone number of our principal executive offices, The Cube Building, Monahan Road. Cork, T12 H1XY, Ireland. Our main website is www.davionhealthcare.com. The information contained on our website is not a part of this prospectus. Our agent for service of process in the United States is the Law Offices of David E Price PC, 3 Bethesda Metro Center, Suite 700, Bethesda, MD 20814.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selected"/>
      <w:bookmarkEnd w:id="36"/>
      <w:r>
        <w:rPr>
          <w:rFonts w:ascii="Times New Roman;Times;Serif" w:hAnsi="Times New Roman;Times;Serif"/>
          <w:b/>
          <w:i w:val="false"/>
          <w:caps w:val="false"/>
          <w:smallCaps w:val="false"/>
          <w:sz w:val="20"/>
        </w:rPr>
        <w:t>SELECTED CONSOLIDATED FINANCIAL DATA – AS RESTATED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pPr>
      <w:r>
        <w:rPr>
          <w:rFonts w:ascii="Times New Roman;Times;Serif" w:hAnsi="Times New Roman;Times;Serif"/>
          <w:b w:val="false"/>
          <w:i w:val="false"/>
          <w:caps w:val="false"/>
          <w:smallCaps w:val="false"/>
          <w:sz w:val="20"/>
        </w:rPr>
        <w:t>The following selected consolidated financial data should be read with, and is qualified in its entirety by reference to, the section entitled "</w:t>
      </w:r>
      <w:hyperlink w:anchor="f1_012">
        <w:r>
          <w:rPr>
            <w:rStyle w:val="InternetLink"/>
            <w:rFonts w:ascii="Times New Roman;Times;Serif" w:hAnsi="Times New Roman;Times;Serif"/>
            <w:b w:val="false"/>
            <w:i w:val="false"/>
            <w:caps w:val="false"/>
            <w:smallCaps w:val="false"/>
            <w:sz w:val="20"/>
          </w:rPr>
          <w:t>Management's Discussion and Analysis of Consolidated Financial Condition and Results of Operations</w:t>
        </w:r>
      </w:hyperlink>
      <w:r>
        <w:rPr>
          <w:rFonts w:ascii="Times New Roman;Times;Serif" w:hAnsi="Times New Roman;Times;Serif"/>
          <w:b w:val="false"/>
          <w:i w:val="false"/>
          <w:caps w:val="false"/>
          <w:smallCaps w:val="false"/>
          <w:sz w:val="20"/>
        </w:rPr>
        <w:t>" and our audited consolidated financial statements and related notes included elsewhere in this prospectus.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selected consolidated financial data for the years ended December 31, 2025 and 2024 and as of December 31, 2025 and 2024 have been derived from our audited consolidated financial statements, as restated, included elsewhere in this prospectus.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restatement reflects the revised accounting treatment of the February 2023 transfer of intellectual property, which is recognised at its predecessor carrying amount and amortised on a straight-line basis over a ten-year useful economic life commencing February 6, 2023. Accordingly, the financial information presented below reflects the restated amounts and supersedes the corresponding financial information previously reported.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prepared our audited consolidated financial statements in accordance with International Financial Reporting Standards ("IFRS") as issued by the International Accounting Standards Board ("IASB"). Our historical results are not necessarily indicative of results expected for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our Selected Consolidated Financial Data for the periods indicated.</w:t>
      </w:r>
    </w:p>
    <w:tbl>
      <w:tblPr>
        <w:tblW w:w="9487" w:type="dxa"/>
        <w:jc w:val="left"/>
        <w:tblInd w:w="0" w:type="dxa"/>
        <w:tblLayout w:type="fixed"/>
        <w:tblCellMar>
          <w:top w:w="0" w:type="dxa"/>
          <w:left w:w="0" w:type="dxa"/>
          <w:bottom w:w="0" w:type="dxa"/>
          <w:right w:w="0" w:type="dxa"/>
        </w:tblCellMar>
      </w:tblPr>
      <w:tblGrid>
        <w:gridCol w:w="5510"/>
        <w:gridCol w:w="60"/>
        <w:gridCol w:w="205"/>
        <w:gridCol w:w="1618"/>
        <w:gridCol w:w="97"/>
        <w:gridCol w:w="61"/>
        <w:gridCol w:w="205"/>
        <w:gridCol w:w="1618"/>
        <w:gridCol w:w="113"/>
      </w:tblGrid>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4" w:type="dxa"/>
            <w:gridSpan w:val="6"/>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3"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As Restated</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As Restated</w:t>
            </w:r>
          </w:p>
        </w:tc>
        <w:tc>
          <w:tcPr>
            <w:tcW w:w="113"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7" w:type="dxa"/>
            <w:gridSpan w:val="7"/>
            <w:tcBorders/>
            <w:vAlign w:val="center"/>
          </w:tcPr>
          <w:p>
            <w:pPr>
              <w:pStyle w:val="TableContents"/>
              <w:bidi w:val="0"/>
              <w:spacing w:before="0" w:after="283"/>
              <w:jc w:val="center"/>
              <w:rPr>
                <w:b/>
              </w:rPr>
            </w:pPr>
            <w:r>
              <w:rPr>
                <w:b/>
              </w:rPr>
              <w:t>(in €, except share and per share data)</w:t>
            </w:r>
          </w:p>
        </w:tc>
      </w:tr>
      <w:tr>
        <w:trPr/>
        <w:tc>
          <w:tcPr>
            <w:tcW w:w="5510" w:type="dxa"/>
            <w:tcBorders/>
            <w:vAlign w:val="center"/>
          </w:tcPr>
          <w:p>
            <w:pPr>
              <w:pStyle w:val="TableContents"/>
              <w:bidi w:val="0"/>
              <w:spacing w:before="0" w:after="283"/>
              <w:jc w:val="left"/>
              <w:rPr>
                <w:b/>
              </w:rPr>
            </w:pPr>
            <w:r>
              <w:rPr>
                <w:b/>
              </w:rPr>
              <w:t>Consolidated Statements of Operations – As Restated:</w:t>
            </w:r>
          </w:p>
        </w:tc>
        <w:tc>
          <w:tcPr>
            <w:tcW w:w="60" w:type="dxa"/>
            <w:tcBorders/>
            <w:vAlign w:val="center"/>
          </w:tcPr>
          <w:p>
            <w:pPr>
              <w:pStyle w:val="TableContents"/>
              <w:bidi w:val="0"/>
              <w:spacing w:before="0" w:after="283"/>
              <w:jc w:val="left"/>
              <w:rPr/>
            </w:pPr>
            <w:r>
              <w:rPr/>
              <w:t> </w:t>
            </w:r>
          </w:p>
        </w:tc>
        <w:tc>
          <w:tcPr>
            <w:tcW w:w="1823"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823"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510" w:type="dxa"/>
            <w:tcBorders/>
            <w:shd w:fill="EEEEEE" w:val="clear"/>
            <w:vAlign w:val="center"/>
          </w:tcPr>
          <w:p>
            <w:pPr>
              <w:pStyle w:val="TableContents"/>
              <w:bidi w:val="0"/>
              <w:spacing w:before="0" w:after="283"/>
              <w:jc w:val="left"/>
              <w:rPr/>
            </w:pPr>
            <w:r>
              <w:rPr/>
              <w:t>Administrative expenses</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618" w:type="dxa"/>
            <w:tcBorders/>
            <w:shd w:fill="EEEEEE" w:val="clear"/>
            <w:vAlign w:val="center"/>
          </w:tcPr>
          <w:p>
            <w:pPr>
              <w:pStyle w:val="TableContents"/>
              <w:bidi w:val="0"/>
              <w:spacing w:before="0" w:after="283"/>
              <w:jc w:val="right"/>
              <w:rPr/>
            </w:pPr>
            <w:r>
              <w:rPr/>
              <w:t>(1,617,024</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618" w:type="dxa"/>
            <w:tcBorders/>
            <w:shd w:fill="EEEEEE" w:val="clear"/>
            <w:vAlign w:val="center"/>
          </w:tcPr>
          <w:p>
            <w:pPr>
              <w:pStyle w:val="TableContents"/>
              <w:bidi w:val="0"/>
              <w:spacing w:before="0" w:after="283"/>
              <w:jc w:val="right"/>
              <w:rPr/>
            </w:pPr>
            <w:r>
              <w:rPr/>
              <w:t>(1,128,980</w:t>
            </w:r>
          </w:p>
        </w:tc>
        <w:tc>
          <w:tcPr>
            <w:tcW w:w="113" w:type="dxa"/>
            <w:tcBorders/>
            <w:shd w:fill="EEEEEE" w:val="clear"/>
            <w:vAlign w:val="center"/>
          </w:tcPr>
          <w:p>
            <w:pPr>
              <w:pStyle w:val="TableContents"/>
              <w:bidi w:val="0"/>
              <w:spacing w:before="0" w:after="283"/>
              <w:jc w:val="left"/>
              <w:rPr/>
            </w:pPr>
            <w:r>
              <w:rPr/>
              <w:t>)</w:t>
            </w:r>
          </w:p>
        </w:tc>
      </w:tr>
      <w:tr>
        <w:trPr/>
        <w:tc>
          <w:tcPr>
            <w:tcW w:w="5510"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pPr>
            <w:r>
              <w:rPr/>
              <w:t>(8,159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5510" w:type="dxa"/>
            <w:tcBorders/>
            <w:shd w:fill="EEEEEE" w:val="clear"/>
            <w:vAlign w:val="center"/>
          </w:tcPr>
          <w:p>
            <w:pPr>
              <w:pStyle w:val="TableContents"/>
              <w:bidi w:val="0"/>
              <w:spacing w:before="0" w:after="283"/>
              <w:jc w:val="left"/>
              <w:rPr/>
            </w:pPr>
            <w:r>
              <w:rPr/>
              <w:t>Operating loss</w:t>
            </w:r>
          </w:p>
        </w:tc>
        <w:tc>
          <w:tcPr>
            <w:tcW w:w="60" w:type="dxa"/>
            <w:tcBorders/>
            <w:shd w:fill="EEEEEE" w:val="clear"/>
            <w:vAlign w:val="center"/>
          </w:tcPr>
          <w:p>
            <w:pPr>
              <w:pStyle w:val="TableContents"/>
              <w:bidi w:val="0"/>
              <w:spacing w:before="0" w:after="283"/>
              <w:jc w:val="left"/>
              <w:rPr/>
            </w:pPr>
            <w:r>
              <w:rPr/>
              <w:t> </w:t>
            </w:r>
          </w:p>
        </w:tc>
        <w:tc>
          <w:tcPr>
            <w:tcW w:w="20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EEEEEE" w:val="clear"/>
            <w:tcMar>
              <w:bottom w:w="28" w:type="dxa"/>
            </w:tcMar>
            <w:vAlign w:val="center"/>
          </w:tcPr>
          <w:p>
            <w:pPr>
              <w:pStyle w:val="TableContents"/>
              <w:bidi w:val="0"/>
              <w:spacing w:before="0" w:after="283"/>
              <w:jc w:val="right"/>
              <w:rPr/>
            </w:pPr>
            <w:r>
              <w:rPr/>
              <w:t>(1,625,183</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20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EEEEEE" w:val="clear"/>
            <w:tcMar>
              <w:bottom w:w="28" w:type="dxa"/>
            </w:tcMar>
            <w:vAlign w:val="center"/>
          </w:tcPr>
          <w:p>
            <w:pPr>
              <w:pStyle w:val="TableContents"/>
              <w:bidi w:val="0"/>
              <w:spacing w:before="0" w:after="283"/>
              <w:jc w:val="right"/>
              <w:rPr/>
            </w:pPr>
            <w:r>
              <w:rPr/>
              <w:t>(1,128,807</w:t>
            </w:r>
          </w:p>
        </w:tc>
        <w:tc>
          <w:tcPr>
            <w:tcW w:w="113" w:type="dxa"/>
            <w:tcBorders/>
            <w:shd w:fill="EEEEEE" w:val="clear"/>
            <w:vAlign w:val="center"/>
          </w:tcPr>
          <w:p>
            <w:pPr>
              <w:pStyle w:val="TableContents"/>
              <w:bidi w:val="0"/>
              <w:spacing w:before="0" w:after="283"/>
              <w:jc w:val="left"/>
              <w:rPr/>
            </w:pPr>
            <w:r>
              <w:rPr/>
              <w:t>)</w:t>
            </w:r>
          </w:p>
        </w:tc>
      </w:tr>
      <w:tr>
        <w:trPr/>
        <w:tc>
          <w:tcPr>
            <w:tcW w:w="551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5510" w:type="dxa"/>
            <w:tcBorders/>
            <w:shd w:fill="EEEEEE" w:val="clear"/>
            <w:vAlign w:val="center"/>
          </w:tcPr>
          <w:p>
            <w:pPr>
              <w:pStyle w:val="TableContents"/>
              <w:bidi w:val="0"/>
              <w:spacing w:before="0" w:after="283"/>
              <w:jc w:val="left"/>
              <w:rPr/>
            </w:pPr>
            <w:r>
              <w:rPr/>
              <w:t>Net loss</w:t>
            </w:r>
          </w:p>
        </w:tc>
        <w:tc>
          <w:tcPr>
            <w:tcW w:w="60"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618" w:type="dxa"/>
            <w:tcBorders>
              <w:bottom w:val="double" w:sz="6" w:space="0" w:color="000000"/>
            </w:tcBorders>
            <w:shd w:fill="EEEEEE" w:val="clear"/>
            <w:tcMar>
              <w:bottom w:w="28" w:type="dxa"/>
            </w:tcMar>
            <w:vAlign w:val="center"/>
          </w:tcPr>
          <w:p>
            <w:pPr>
              <w:pStyle w:val="TableContents"/>
              <w:bidi w:val="0"/>
              <w:spacing w:before="0" w:after="283"/>
              <w:jc w:val="right"/>
              <w:rPr/>
            </w:pPr>
            <w:r>
              <w:rPr/>
              <w:t>(1,625,183</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618" w:type="dxa"/>
            <w:tcBorders>
              <w:bottom w:val="double" w:sz="6" w:space="0" w:color="000000"/>
            </w:tcBorders>
            <w:shd w:fill="EEEEEE" w:val="clear"/>
            <w:tcMar>
              <w:bottom w:w="28" w:type="dxa"/>
            </w:tcMar>
            <w:vAlign w:val="center"/>
          </w:tcPr>
          <w:p>
            <w:pPr>
              <w:pStyle w:val="TableContents"/>
              <w:bidi w:val="0"/>
              <w:spacing w:before="0" w:after="283"/>
              <w:jc w:val="right"/>
              <w:rPr/>
            </w:pPr>
            <w:r>
              <w:rPr/>
              <w:t>(1,128,807</w:t>
            </w:r>
          </w:p>
        </w:tc>
        <w:tc>
          <w:tcPr>
            <w:tcW w:w="113" w:type="dxa"/>
            <w:tcBorders/>
            <w:shd w:fill="EEEEEE" w:val="clear"/>
            <w:vAlign w:val="center"/>
          </w:tcPr>
          <w:p>
            <w:pPr>
              <w:pStyle w:val="TableContents"/>
              <w:bidi w:val="0"/>
              <w:spacing w:before="0" w:after="283"/>
              <w:jc w:val="left"/>
              <w:rPr/>
            </w:pPr>
            <w:r>
              <w:rPr/>
              <w:t>)</w:t>
            </w:r>
          </w:p>
        </w:tc>
      </w:tr>
      <w:tr>
        <w:trPr/>
        <w:tc>
          <w:tcPr>
            <w:tcW w:w="5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510" w:type="dxa"/>
            <w:tcBorders/>
            <w:shd w:fill="EEEEEE" w:val="clear"/>
            <w:vAlign w:val="center"/>
          </w:tcPr>
          <w:p>
            <w:pPr>
              <w:pStyle w:val="TableContents"/>
              <w:bidi w:val="0"/>
              <w:spacing w:before="0" w:after="283"/>
              <w:jc w:val="left"/>
              <w:rPr/>
            </w:pPr>
            <w:r>
              <w:rPr/>
              <w:t>Net loss per share:</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8" w:type="dxa"/>
            <w:tcBorders>
              <w:bottom w:val="double" w:sz="6" w:space="0" w:color="000000"/>
            </w:tcBorders>
            <w:shd w:fill="FFFFFF" w:val="clear"/>
            <w:tcMar>
              <w:bottom w:w="28" w:type="dxa"/>
            </w:tcMar>
            <w:vAlign w:val="center"/>
          </w:tcPr>
          <w:p>
            <w:pPr>
              <w:pStyle w:val="TableContents"/>
              <w:bidi w:val="0"/>
              <w:spacing w:before="0" w:after="283"/>
              <w:jc w:val="right"/>
              <w:rPr/>
            </w:pPr>
            <w:r>
              <w:rPr/>
              <w:t>(0.07</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8"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113" w:type="dxa"/>
            <w:tcBorders/>
            <w:shd w:fill="FFFFFF" w:val="clear"/>
            <w:vAlign w:val="center"/>
          </w:tcPr>
          <w:p>
            <w:pPr>
              <w:pStyle w:val="TableContents"/>
              <w:bidi w:val="0"/>
              <w:spacing w:before="0" w:after="283"/>
              <w:jc w:val="left"/>
              <w:rPr/>
            </w:pPr>
            <w:r>
              <w:rPr/>
              <w:t>)</w:t>
            </w:r>
          </w:p>
        </w:tc>
      </w:tr>
      <w:tr>
        <w:trPr/>
        <w:tc>
          <w:tcPr>
            <w:tcW w:w="551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pPr>
            <w:r>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510" w:type="dxa"/>
            <w:tcBorders/>
            <w:shd w:fill="EEEEEE" w:val="clear"/>
            <w:vAlign w:val="center"/>
          </w:tcPr>
          <w:p>
            <w:pPr>
              <w:pStyle w:val="TableContents"/>
              <w:bidi w:val="0"/>
              <w:spacing w:before="0" w:after="283"/>
              <w:jc w:val="left"/>
              <w:rPr/>
            </w:pPr>
            <w:r>
              <w:rPr/>
              <w:t>Basic and diluted</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22,909,836</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618" w:type="dxa"/>
            <w:tcBorders/>
            <w:shd w:fill="EEEEEE" w:val="clear"/>
            <w:vAlign w:val="center"/>
          </w:tcPr>
          <w:p>
            <w:pPr>
              <w:pStyle w:val="TableContents"/>
              <w:bidi w:val="0"/>
              <w:spacing w:before="0" w:after="283"/>
              <w:jc w:val="right"/>
              <w:rPr/>
            </w:pPr>
            <w:r>
              <w:rPr/>
              <w:t>25,000,000</w:t>
            </w:r>
          </w:p>
        </w:tc>
        <w:tc>
          <w:tcPr>
            <w:tcW w:w="113" w:type="dxa"/>
            <w:tcBorders/>
            <w:shd w:fill="EEEEEE"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9368" w:type="dxa"/>
        <w:jc w:val="left"/>
        <w:tblInd w:w="0" w:type="dxa"/>
        <w:tblLayout w:type="fixed"/>
        <w:tblCellMar>
          <w:top w:w="0" w:type="dxa"/>
          <w:left w:w="0" w:type="dxa"/>
          <w:bottom w:w="0" w:type="dxa"/>
          <w:right w:w="0" w:type="dxa"/>
        </w:tblCellMar>
      </w:tblPr>
      <w:tblGrid>
        <w:gridCol w:w="5495"/>
        <w:gridCol w:w="60"/>
        <w:gridCol w:w="207"/>
        <w:gridCol w:w="1567"/>
        <w:gridCol w:w="95"/>
        <w:gridCol w:w="60"/>
        <w:gridCol w:w="207"/>
        <w:gridCol w:w="1567"/>
        <w:gridCol w:w="110"/>
      </w:tblGrid>
      <w:tr>
        <w:trPr/>
        <w:tc>
          <w:tcPr>
            <w:tcW w:w="5495" w:type="dxa"/>
            <w:tcBorders/>
            <w:vAlign w:val="center"/>
          </w:tcPr>
          <w:p>
            <w:pPr>
              <w:pStyle w:val="TableContents"/>
              <w:bidi w:val="0"/>
              <w:spacing w:before="0" w:after="283"/>
              <w:jc w:val="left"/>
              <w:rPr>
                <w:b/>
              </w:rPr>
            </w:pPr>
            <w:r>
              <w:rPr>
                <w:b/>
              </w:rPr>
              <w:t>Consolidated Statements of Cash Flows – As Restated</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495" w:type="dxa"/>
            <w:tcBorders>
              <w:bottom w:val="single" w:sz="8" w:space="0" w:color="000000"/>
            </w:tcBorders>
            <w:tcMar>
              <w:bottom w:w="28" w:type="dxa"/>
            </w:tcMar>
            <w:vAlign w:val="center"/>
          </w:tcPr>
          <w:p>
            <w:pPr>
              <w:pStyle w:val="TableContents"/>
              <w:bidi w:val="0"/>
              <w:spacing w:before="0" w:after="283"/>
              <w:jc w:val="left"/>
              <w:rPr>
                <w:b/>
              </w:rPr>
            </w:pPr>
            <w:r>
              <w:rPr>
                <w:b/>
              </w:rPr>
              <w:t>Year ended December 31</w:t>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As 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As Restated</w:t>
            </w:r>
          </w:p>
        </w:tc>
        <w:tc>
          <w:tcPr>
            <w:tcW w:w="110" w:type="dxa"/>
            <w:tcBorders/>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Net loss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(1,625,183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(1,128,807</w:t>
            </w:r>
          </w:p>
        </w:tc>
        <w:tc>
          <w:tcPr>
            <w:tcW w:w="110" w:type="dxa"/>
            <w:tcBorders/>
            <w:shd w:fill="EEEEEE"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pPr>
            <w:r>
              <w:rPr/>
              <w:t>Amortisation</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304,830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304,830</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Increase in VAT receivable</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(7,807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(8,895</w:t>
            </w:r>
          </w:p>
        </w:tc>
        <w:tc>
          <w:tcPr>
            <w:tcW w:w="110" w:type="dxa"/>
            <w:tcBorders/>
            <w:shd w:fill="EEEEEE"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pPr>
            <w:r>
              <w:rPr/>
              <w:t>Increase in prepayments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(122,507</w:t>
            </w:r>
          </w:p>
        </w:tc>
        <w:tc>
          <w:tcPr>
            <w:tcW w:w="110" w:type="dxa"/>
            <w:tcBorders/>
            <w:shd w:fill="FFFFFF" w:val="clear"/>
            <w:vAlign w:val="center"/>
          </w:tcPr>
          <w:p>
            <w:pPr>
              <w:pStyle w:val="TableContents"/>
              <w:bidi w:val="0"/>
              <w:spacing w:before="0" w:after="283"/>
              <w:jc w:val="left"/>
              <w:rPr/>
            </w:pPr>
            <w:r>
              <w:rPr/>
              <w:t>)</w:t>
            </w:r>
          </w:p>
        </w:tc>
      </w:tr>
      <w:tr>
        <w:trPr/>
        <w:tc>
          <w:tcPr>
            <w:tcW w:w="5495" w:type="dxa"/>
            <w:tcBorders/>
            <w:shd w:fill="EEEEEE" w:val="clear"/>
            <w:vAlign w:val="center"/>
          </w:tcPr>
          <w:p>
            <w:pPr>
              <w:pStyle w:val="TableContents"/>
              <w:bidi w:val="0"/>
              <w:spacing w:before="0" w:after="283"/>
              <w:jc w:val="left"/>
              <w:rPr/>
            </w:pPr>
            <w:r>
              <w:rPr/>
              <w:t>Increase in amount due to related parties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890,915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906,301</w:t>
            </w:r>
          </w:p>
        </w:tc>
        <w:tc>
          <w:tcPr>
            <w:tcW w:w="110" w:type="dxa"/>
            <w:tcBorders/>
            <w:shd w:fill="EEEEEE"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Increase in trade and other payables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436,577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48,755</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Net cash used in operating activities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(668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(323</w:t>
            </w:r>
          </w:p>
        </w:tc>
        <w:tc>
          <w:tcPr>
            <w:tcW w:w="110" w:type="dxa"/>
            <w:tcBorders/>
            <w:shd w:fill="EEEEEE"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pPr>
            <w:r>
              <w:rPr/>
              <w:t>Net cash from investing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Net cash provided by financing activities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1,370</w:t>
            </w:r>
          </w:p>
        </w:tc>
        <w:tc>
          <w:tcPr>
            <w:tcW w:w="110" w:type="dxa"/>
            <w:tcBorders/>
            <w:shd w:fill="EEEEEE"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Net increase/(decrease)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1,047</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Cash and cash equivalents at beginning of year</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679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11</w:t>
            </w:r>
          </w:p>
        </w:tc>
        <w:tc>
          <w:tcPr>
            <w:tcW w:w="110" w:type="dxa"/>
            <w:tcBorders/>
            <w:shd w:fill="EEEEEE"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Cash and cash equivalents at end of year</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1,058</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Net cash flows used in operating activities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(668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(323</w:t>
            </w:r>
          </w:p>
        </w:tc>
        <w:tc>
          <w:tcPr>
            <w:tcW w:w="110" w:type="dxa"/>
            <w:tcBorders/>
            <w:shd w:fill="EEEEEE"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pPr>
            <w:r>
              <w:rPr/>
              <w:t>Net 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Net cash flows from financing activities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1,370</w:t>
            </w:r>
          </w:p>
        </w:tc>
        <w:tc>
          <w:tcPr>
            <w:tcW w:w="110" w:type="dxa"/>
            <w:tcBorders/>
            <w:shd w:fill="EEEEEE"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i/>
              </w:rPr>
            </w:pPr>
            <w:r>
              <w:rPr>
                <w:i/>
              </w:rPr>
              <w:t>Noncash investing &amp; financing activities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567"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567"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Shares issued for amounts due to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5,600,000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5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EEEEEE" w:val="clear"/>
            <w:vAlign w:val="center"/>
          </w:tcPr>
          <w:p>
            <w:pPr>
              <w:pStyle w:val="TableContents"/>
              <w:bidi w:val="0"/>
              <w:spacing w:before="0" w:after="283"/>
              <w:jc w:val="left"/>
              <w:rPr/>
            </w:pPr>
            <w:r>
              <w:rPr/>
              <w:t>Shares issued for trade and other payables</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919,663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567" w:type="dxa"/>
            <w:tcBorders/>
            <w:shd w:fill="EEEEEE" w:val="cle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restatement of the accounting treatment of the February 2023 intellectual property transfer did not affect the Company's cash flows or cash balances for either period presented. The restatement increased the reported net loss through the recognition of amortisation expense; however, amortisation is a non-cash expense and is therefore added back in determining net cash used in operating activities. Accordingly, net cash used in operating activities remained €323 for 2025 and €668 for 2024.</w:t>
      </w:r>
    </w:p>
    <w:tbl>
      <w:tblPr>
        <w:tblW w:w="10003" w:type="dxa"/>
        <w:jc w:val="left"/>
        <w:tblInd w:w="0" w:type="dxa"/>
        <w:tblLayout w:type="fixed"/>
        <w:tblCellMar>
          <w:top w:w="0" w:type="dxa"/>
          <w:left w:w="0" w:type="dxa"/>
          <w:bottom w:w="0" w:type="dxa"/>
          <w:right w:w="0" w:type="dxa"/>
        </w:tblCellMar>
      </w:tblPr>
      <w:tblGrid>
        <w:gridCol w:w="6200"/>
        <w:gridCol w:w="60"/>
        <w:gridCol w:w="221"/>
        <w:gridCol w:w="1553"/>
        <w:gridCol w:w="60"/>
        <w:gridCol w:w="60"/>
        <w:gridCol w:w="221"/>
        <w:gridCol w:w="1553"/>
        <w:gridCol w:w="75"/>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8" w:type="dxa"/>
            <w:gridSpan w:val="6"/>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As Restated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As Restated</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8" w:type="dxa"/>
            <w:gridSpan w:val="6"/>
            <w:tcBorders/>
            <w:vAlign w:val="center"/>
          </w:tcPr>
          <w:p>
            <w:pPr>
              <w:pStyle w:val="TableContents"/>
              <w:bidi w:val="0"/>
              <w:spacing w:before="0" w:after="283"/>
              <w:jc w:val="center"/>
              <w:rPr>
                <w:b/>
              </w:rPr>
            </w:pPr>
            <w:r>
              <w:rPr>
                <w:b/>
              </w:rPr>
              <w:t>(in €)</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b/>
              </w:rPr>
            </w:pPr>
            <w:r>
              <w:rPr>
                <w:b/>
              </w:rPr>
              <w:t>Consolidated Statements of Financial Position – As Restated:</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200" w:type="dxa"/>
            <w:tcBorders/>
            <w:shd w:fill="EEEEEE" w:val="clear"/>
            <w:vAlign w:val="center"/>
          </w:tcPr>
          <w:p>
            <w:pPr>
              <w:pStyle w:val="TableContents"/>
              <w:bidi w:val="0"/>
              <w:spacing w:before="0" w:after="283"/>
              <w:jc w:val="left"/>
              <w:rPr/>
            </w:pPr>
            <w:r>
              <w:rPr/>
              <w:t>Cash</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11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1,058</w:t>
            </w:r>
          </w:p>
        </w:tc>
        <w:tc>
          <w:tcPr>
            <w:tcW w:w="75" w:type="dxa"/>
            <w:tcBorders/>
            <w:shd w:fill="EEEEEE"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2,489,448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2,184,618</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EEEEEE" w:val="clear"/>
            <w:vAlign w:val="center"/>
          </w:tcPr>
          <w:p>
            <w:pPr>
              <w:pStyle w:val="TableContents"/>
              <w:bidi w:val="0"/>
              <w:spacing w:before="0" w:after="283"/>
              <w:jc w:val="left"/>
              <w:rPr/>
            </w:pPr>
            <w:r>
              <w:rPr/>
              <w:t>Total assets</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2,489,459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2,185,676</w:t>
            </w:r>
          </w:p>
        </w:tc>
        <w:tc>
          <w:tcPr>
            <w:tcW w:w="75" w:type="dxa"/>
            <w:tcBorders/>
            <w:shd w:fill="EEEEEE"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Advances from related parties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907,671</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EEEEEE" w:val="clear"/>
            <w:vAlign w:val="center"/>
          </w:tcPr>
          <w:p>
            <w:pPr>
              <w:pStyle w:val="TableContents"/>
              <w:bidi w:val="0"/>
              <w:spacing w:before="0" w:after="283"/>
              <w:jc w:val="left"/>
              <w:rPr/>
            </w:pPr>
            <w:r>
              <w:rPr/>
              <w:t>Total liabilities</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39,756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553" w:type="dxa"/>
            <w:tcBorders/>
            <w:shd w:fill="EEEEEE" w:val="clear"/>
            <w:vAlign w:val="center"/>
          </w:tcPr>
          <w:p>
            <w:pPr>
              <w:pStyle w:val="TableContents"/>
              <w:bidi w:val="0"/>
              <w:spacing w:before="0" w:after="283"/>
              <w:jc w:val="right"/>
              <w:rPr/>
            </w:pPr>
            <w:r>
              <w:rPr/>
              <w:t>996,182</w:t>
            </w:r>
          </w:p>
        </w:tc>
        <w:tc>
          <w:tcPr>
            <w:tcW w:w="75" w:type="dxa"/>
            <w:tcBorders/>
            <w:shd w:fill="EEEEEE"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2,497,597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553" w:type="dxa"/>
            <w:tcBorders/>
            <w:shd w:fill="FFFFFF" w:val="clear"/>
            <w:vAlign w:val="center"/>
          </w:tcPr>
          <w:p>
            <w:pPr>
              <w:pStyle w:val="TableContents"/>
              <w:bidi w:val="0"/>
              <w:spacing w:before="0" w:after="283"/>
              <w:jc w:val="right"/>
              <w:rPr/>
            </w:pPr>
            <w:r>
              <w:rPr/>
              <w:t>2,325,216</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f1_012"/>
      <w:bookmarkEnd w:id="37"/>
      <w:r>
        <w:rPr>
          <w:rFonts w:ascii="Times New Roman;Times;Serif" w:hAnsi="Times New Roman;Times;Serif"/>
          <w:b/>
          <w:i w:val="false"/>
          <w:caps w:val="false"/>
          <w:smallCaps w:val="false"/>
          <w:sz w:val="20"/>
        </w:rPr>
        <w:t xml:space="preserve">MANAGEMENT’S DISCUSSION AND ANALYSIS OF CONSOLIDATED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rPr>
        <w:t>You should read the following Management’s Discussion and Analysis of our Consolidated Financial Condition and Results of Operations in conjunction with the section entitled “</w:t>
      </w:r>
      <w:hyperlink w:anchor="selected">
        <w:r>
          <w:rPr>
            <w:rStyle w:val="InternetLink"/>
            <w:rFonts w:ascii="Times New Roman;Times;Serif" w:hAnsi="Times New Roman;Times;Serif"/>
            <w:b w:val="false"/>
            <w:i/>
            <w:caps w:val="false"/>
            <w:smallCaps w:val="false"/>
            <w:sz w:val="20"/>
          </w:rPr>
          <w:t>Selected Consolidated Financial Data</w:t>
        </w:r>
      </w:hyperlink>
      <w:r>
        <w:rPr>
          <w:rFonts w:ascii="Times New Roman;Times;Serif" w:hAnsi="Times New Roman;Times;Serif"/>
          <w:b w:val="false"/>
          <w:i/>
          <w:caps w:val="false"/>
          <w:smallCaps w:val="false"/>
          <w:sz w:val="20"/>
        </w:rPr>
        <w:t>”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w:t>
      </w:r>
      <w:hyperlink w:anchor="f1_002">
        <w:r>
          <w:rPr>
            <w:rStyle w:val="InternetLink"/>
            <w:rFonts w:ascii="Times New Roman;Times;Serif" w:hAnsi="Times New Roman;Times;Serif"/>
            <w:b w:val="false"/>
            <w:i/>
            <w:caps w:val="false"/>
            <w:smallCaps w:val="false"/>
            <w:sz w:val="20"/>
          </w:rPr>
          <w:t>Risk Factors</w:t>
        </w:r>
      </w:hyperlink>
      <w:r>
        <w:rPr>
          <w:rFonts w:ascii="Times New Roman;Times;Serif" w:hAnsi="Times New Roman;Times;Serif"/>
          <w:b w:val="false"/>
          <w:i/>
          <w:caps w:val="false"/>
          <w:smallCaps w:val="false"/>
          <w:sz w:val="20"/>
        </w:rPr>
        <w:t>,” “</w:t>
      </w:r>
      <w:hyperlink w:anchor="f1_003">
        <w:r>
          <w:rPr>
            <w:rStyle w:val="InternetLink"/>
            <w:rFonts w:ascii="Times New Roman;Times;Serif" w:hAnsi="Times New Roman;Times;Serif"/>
            <w:b w:val="false"/>
            <w:i/>
            <w:caps w:val="false"/>
            <w:smallCaps w:val="false"/>
            <w:sz w:val="20"/>
          </w:rPr>
          <w:t>Special Note Regarding Forward-Looking Statements</w:t>
        </w:r>
      </w:hyperlink>
      <w:r>
        <w:rPr>
          <w:rFonts w:ascii="Times New Roman;Times;Serif" w:hAnsi="Times New Roman;Times;Serif"/>
          <w:b w:val="false"/>
          <w:i/>
          <w:caps w:val="false"/>
          <w:smallCaps w:val="false"/>
          <w:sz w:val="20"/>
        </w:rPr>
        <w:t>” and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Because comparative periods have been restated, comparisons with financial statements previously filed by the Company should be made by reference to the restated financial statements contained in this Registration Statement.</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Our Company</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is a pre-revenue Company focused on the development and commercialization of non-invasive home tests for the early indication of health anomalies. Our home tests are non-diagnostic, focusing on early indication of potential health anomalies, for which if identified, further clinical tests outside of the scope of our products would be required. We have focused our unique technologies on an exceptionally affordable home-based test system. Our strength as a Company at this early stage is twofold, that we possess our own intellectual property, patents and technology; and that to date, there are no other known competitors attempting to utilize like-technologies. We intend to operate under a planned direct manufacturing/distribution and regional third-party manufacturers/distributors model and currently have four non-invasive home tests completed, namely, BreastCheck, FootFlow, Testic, and ThermaDerm.</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flagship product, BreastCheck, is our first product licensed and is expected to be launched in the second half of 2026 by our sole licensee. To date, we have been largely reliant on our CEO for operational funding. Going forward we intend to rely on the cash flows generated by our licensee, third party financing sources, as well as the on-going support of our CEO.</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including BreastCheck and FootFlow, use thermography to detect small but meaningful changes in skin surface temperature. Liquid crystal film placed on the skin produces color shifts in response to temperature differences, creating a simple thermal map that highlights areas of concern. By combining film-based technology with artificial intelligence analysis of smartphone images, our products deliver standardized, reliable, and easy-to-understand results. This enables early indication at home in a safe, non-invasive, and scalable way.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current and future commercial operations is expected to be generated primarily from license fees and royalties received from our commercial partners. Our operating results may therefore fluctuate depending on the timing of license execution, the achievement of commercial milestones, and the sales performance of our licensees in the territories they serve.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the performance of our licensees and continually assess whether further investment or changes in commercialization strategy are required to enhance product market penetration. Should a licensee fail to meet its commercial or regulatory responsibilities, or should we identify an opportunity where direct commercialization may deliver greater value, we may elect to take over responsibility for sales, marketing, manufacturing, or warranty management for certain products. Any such shift could materially affect our cost structure, working capital needs, and revenue profile during the period of operational transition.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capital expenditure and operating cost forecasts therefore include the possibility of increasing internal commercialization capacity, whether through strategic hiring, investment in manufacturing or supply chain capabilities, or collaboration with additional third-party service providers to support direct sales or distribution.</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and Carrying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asset comprises intellectual property relating to its portfolio of non-invasive medical device technologies, including BreastCheck, FootFlow, Testic and ThermaDerm. The intellectual property represents the core technology upon which the Company's product development, planned direct manufacturing/distribution and regional third-party manufacturers/distributors and future commercialisation strategy is based.</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consolidated financial statements included in this Registration Statement, the accounting treatment applied to the February 2023 transfer of intellectual property has been Restated. The intellectual property is recognised at its predecessor carrying amount and is accounted for using the cost model in accordance with IAS 38. The Company has determined that the intellectual property has a finite useful economic life of ten years commencing on 6 February 2023 and is amortised on a straight-line basis over that period.</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Restated accounting presentation reflected in these financial statements relates solely to the accounting measurement and presentation of the February 2023 transaction. It does not affect the legal ownership of the intellectual property, the validity of the underlying transaction documentation, the Company's commercial rights, planned direct manufacturing/distribution and regional third-party manufacturers/distributors arrangements or strategy for commercialising its technologies.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intellectual property reflected in the consolidated financial statements represents an accounting carrying value determined in accordance with the accounting policies adopted in these financial statements. It should not be regarded as a current market valuation or as an estimate of the commercial value of the Company's intellectual property portfolio. The future economic value of the Company's intellectual property will depend upon the successful development, regulatory approvals and registrations where applicable, commercialisation, market adoption of its products, the successful execution of its planned direct manufacturing/distribution and regional third-party manufacturers/distributors strategy and the Company's ability to generate future revenues from the commercial exploitation of its technology.</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value of intellectual property may differ significantly from its accounting carrying amount, particularly where technology is at an early stage of commercialisation and future economic benefits are dependent upon the successful execution of business objectives, market acceptance and future operating performance. Accordingly, investors should not interpret the accounting carrying value reflected in the consolidated financial statements as representing the current market value or future commercial value of the Company's intellectual property portfolio.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Amortisation and Impairment Assessment</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amortises its intellectual property on a straight-line basis over its estimated useful economic life of ten years commencing on 6 February 2023. The estimated useful life is reviewed at each reporting date to determine whether events or changes in circumstances indicate that a revision to the remaining useful life is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amortisation, the Company assesses its intellectual property for impairment in accordance with IAS 36 whenever events or changes in circumstances indicate that the carrying amount of the asset may not be recoverable. In performing this assessment, management considers a range of factors, including product development progress, regulatory developments, commercial performance, planned direct manufacturing/distribution and regional third-party manufacturers/distributors arrangements, projected future cash flows, technological developments and prevailing market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assessment as of the reporting date, no impairment loss has been recognised. However, impairment assessments require the exercise of significant judgement and are based upon assumptions regarding future events and economic conditions. Changes in those assumptions, or adverse developments affecting the Company's products, technology, regulatory environment, commercial activities or market conditions, could result in the recognition of impairment charges in future reporting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Shifting From Development to Commercialization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and do not expect to do so until the second half of 2026 at the earliest. Since our inception in 2022, our focus has been on the development, research, and registration of a portfolio of innovative medical devices, which we anticipate will form the foundation of our future revenue streams. These activities have required investment in product finalization, regulatory approvals, and intellectual property protection.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expenses have costs associated with obtaining regulatory approval in key markets, including the United States, Europe, and the United Kingdom. The approval of our products in these regions represents a major milestone, positioning us for future commercial success.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our financial performance to date reflects the nature of a pre-revenue Company, with substantial outflows administrative costs necessary to bring our products to market, as well as our efforts to become a public Company in 2025. Our ability to generate revenue in the future will depend on the successful commercialization of our products, especially BreastCheck, which we believe will enable us to recoup the substantial costs incurred during the development phase and drive sustainable financial performance going forward.</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entered into a global manufacturing and distribution agreement with NeuRX Health Inc. relating to BreastCheck. The agreement, as subsequently amended, contemplated license fees, equity consideration and minimum royalty payments over its contractual term. No revenue was recognised under the agreement during the year ended December 31, 2025.</w:t>
      </w:r>
    </w:p>
    <w:p>
      <w:pPr>
        <w:pStyle w:val="TextBody"/>
        <w:bidi w:val="0"/>
        <w:spacing w:before="1" w:after="1"/>
        <w:ind w:left="1" w:right="1" w:firstLine="432"/>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reporting period, the Company terminated the agreement. Accordingly, the NeuRX agreement no longer forms the basis of the Company's prospective manufacturing, distribution or revenue model. The Company has subsequently adopted a flexible commercialization strategy under which BreastCheck, and the Company's other products may be manufactured and distributed directly by the Company or members of the Davion group and/or through third-party manufacturers and distributors appointed on a regional or territory-specific basis. NeuRX may remain a non-exclusive distributor of BreastCheck in the United States subject to any separate distribution arrangement entered into between the parties.</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Davion entered into a 1-year infrastructure, software and services agreement to complete the development of our regulatory compliant database that will house data first party data for €0.7 million. The company intends to initially launch BreastCheck in the U.S. in the second half of 2026, with additional launches in international markets commencing in 2027, subject to market conditions.</w:t>
      </w:r>
    </w:p>
    <w:p>
      <w:pPr>
        <w:pStyle w:val="TextBody"/>
        <w:bidi w:val="0"/>
        <w:ind w:left="108" w:right="105"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entered into any additional license agreements for our other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expenses in 2025 have been funded by Jack Kaye, its CEO, who owns 41% of the outstanding shares of Davion. Mr. Kaye and the related entities he controls are owed €0.9 million as of December 31, 2025, related to costs associated with funding the operating needs of the Company. See Note 21 to our consolidated financial statements for additional information regarding related party transactions. Mr. Kaye has pledged his on-going financial for the next twelve months from the issuance date of our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Business Developments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filed a registration statement with the United States Securities &amp; Exchange Commission to list its 25 million outstanding Ordinary Shares on Nasdaq’s Global Market, solely to permit its registered shareholders the ability to trade their shares in the United States. The registered shareholders may or may not, elect to sell their Ordinary Shares covered by the registration statement, as and to the extent they determine. The Company will receive no proceeds from the direct listing and the Company’s registration statement became effective on November 28, 2025. As such, the Company is subject to the reporting requirements under the Securities &amp; Exchange Commission as a foreign private issuer but is still awaiting clearance from Nasdaq to be listed in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1" w:after="1"/>
        <w:ind w:left="107" w:right="105" w:firstLine="3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 Operations and Acquisition Financing</w:t>
      </w:r>
    </w:p>
    <w:p>
      <w:pPr>
        <w:pStyle w:val="TextBody"/>
        <w:bidi w:val="0"/>
        <w:spacing w:before="1" w:after="1"/>
        <w:ind w:left="107" w:right="105"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established Davion Healthcare Ltd (UK) in the United Kingdom as part of the Group's expansion of its UK operations. Davion Healthcare Ltd (UK) subsequently established Davion Healthcare Finance Ltd as its wholly owned subsidiary to support the Group's acquisition financing activities. Davion Healthcare Finance Ltd is intended to act as issuer under a proposed institutional corporate bond programme. The programme has not commenced and no bonds have been issued or proceeds raised as of the date of this Registration Statement.</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additional recent business developments as further described in Note 19 “Events after our reporting date”, in our December 31, 2025 audited consolidated financial statements contained elsewhere in this prospectus.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2025 vs. 2024</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2024, we did not generate any revenue and incurred operating losses of €1.1 million and €1.6 million, respectively. The €0.5 million decrease in operating losses in 2025 was principally due to €1.1 million of lower executive and director compensation costs due to them waiving accrual of fees in 2025, partially offset by new higher costs for professional fees related to audit and accounting fees of €0.4 million and €0.2 of increased costs related to our infrastructure and software services agreement that began in September. As such, our expense run rate through December 31, 2025, is not indicative of our future cost structure.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0% in 2025 and 2024, respectively, as the Company did not recognize any deferred tax assets associated with its cumulative net operating losses.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2025 executive service agreements for our CEO, Mr. Kaye and our COO, Mr. Over. were cancelled with no amounts owing. The Company has agreed that the new 2026 executive service agreements shall be established immediately prior to, or within fourteen days following, the listing of the Company’s securities on a regulated stock exchange. Such new agreements shall: reflect the current operational and financial position of the Company as a pre-revenue entity; and provide for compensation, benefits, and incentive arrangements commensurate with those typically applicable to executives of comparable small-capitalization publicly listed companies. Additionally, fees under these agreements will not accrue until such time that the Company is listed, consistent with our CFO’s annual service agreement (~€0.1 million service fee plus stock grant) and our annual renumeration of our independent directors (~€0.7 million in cash and stock).</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cost structure is expected to increase in 2026 for non-recurring fees and recurring higher operating costs as a publicly listed Company. We expect to incur non-recurring fees associated with our direct listing and financial advisory fees of approximately $0.6 million in cash and non-cash fees related to the issuance of 225,000 Ordinary Shares on our listing date. In addition to the higher executive service fees and independent director fees noted above, we expect our recurring run rate operating costs to increase for legal, insurance, accounting, investor relations, stock compensation, technology infrastructure and compliance costs. Additionally, we will incur higher financing costs, including interest and fees related to capital advisory costs and a convertible note entered into in the first quarter of 2026. See Liquidity and Capital Resources section Capital Transactions &amp; Commitments for additional information. Finally, we expect to incur higher financing costs to fund future growth plans once we are listed.</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Since our inception, we have relied exclusively on the personal financial support of our Chief Executive Officer, who has provided all of our funding to date through his private companies and to a lesser extent, share issuances in settlement of amounts owed third party service providers. At December 31, 2025, the Company had related party advances from our CEO of €0.9 million. On June 30, 2024, the Company settled advances due to our CEO and third party service providers totaling €6.5 million (see Noncash financing activities below and “</w:t>
      </w:r>
      <w:hyperlink w:anchor="f1_016">
        <w:r>
          <w:rPr>
            <w:rStyle w:val="InternetLink"/>
            <w:rFonts w:ascii="Times New Roman;Times;Serif" w:hAnsi="Times New Roman;Times;Serif"/>
            <w:b w:val="false"/>
            <w:i w:val="false"/>
            <w:caps w:val="false"/>
            <w:smallCaps w:val="false"/>
            <w:sz w:val="20"/>
          </w:rPr>
          <w:t>Related Party Transactions</w:t>
        </w:r>
      </w:hyperlink>
      <w:r>
        <w:rPr>
          <w:rFonts w:ascii="Times New Roman;Times;Serif" w:hAnsi="Times New Roman;Times;Serif"/>
          <w:b w:val="false"/>
          <w:i w:val="false"/>
          <w:caps w:val="false"/>
          <w:smallCaps w:val="false"/>
          <w:sz w:val="20"/>
        </w:rPr>
        <w:t>” section for additional information). To reduce the cash operating needs of the Company in 2025, the executive officers and the independent directors waived accrual of their 2025 compensation until such time that the Company is listed on Nasdaq and has raised at least $5 million in capital.</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future revenues and cash inflows to be derived from commercialization of its registered Class I product portfolio through a combination of direct product sales, distribution arrangements, manufacturing arrangements and regional or territory-specific licensing agreements. The timing and amount of such future cash flows remain subject to successful commercialization, the appointment and performance of third-party commercial partners where applicable, market acceptance and the Company's ability to develop the infrastructure necessary for direct commercialization. The Company believes that as of the date of this Annual Report, that with its current capitalization, our Chief Executive Officers’ ongoing financial support, and expected future contractual inflows and the third party financing arrangements entered into during March 2026, it has sufficient financial resources to meet its obligations for at least the next 12 months. See Capital Transaction &amp; Commitments section below.</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€1,058 and €11 of cash at December 31, 2025 and 2024, respectively. We are dependent on our CEO to fund our operating expenses through his on-going advances which were €0.9 million as of December 31, 2025.</w:t>
      </w:r>
    </w:p>
    <w:p>
      <w:pPr>
        <w:pStyle w:val="TextBody"/>
        <w:bidi w:val="0"/>
        <w:ind w:left="0" w:right="0" w:firstLine="360"/>
        <w:jc w:val="both"/>
        <w:rPr>
          <w:caps w:val="false"/>
          <w:smallCaps w:val="false"/>
        </w:rPr>
      </w:pPr>
      <w:r>
        <w:rPr>
          <w:caps w:val="false"/>
          <w:smallCaps w:val="false"/>
        </w:rPr>
        <w:t> </w:t>
      </w:r>
    </w:p>
    <w:tbl>
      <w:tblPr>
        <w:tblW w:w="7781" w:type="dxa"/>
        <w:jc w:val="left"/>
        <w:tblInd w:w="0" w:type="dxa"/>
        <w:tblLayout w:type="fixed"/>
        <w:tblCellMar>
          <w:top w:w="0" w:type="dxa"/>
          <w:left w:w="0" w:type="dxa"/>
          <w:bottom w:w="0" w:type="dxa"/>
          <w:right w:w="0" w:type="dxa"/>
        </w:tblCellMar>
      </w:tblPr>
      <w:tblGrid>
        <w:gridCol w:w="4955"/>
        <w:gridCol w:w="60"/>
        <w:gridCol w:w="123"/>
        <w:gridCol w:w="1154"/>
        <w:gridCol w:w="195"/>
        <w:gridCol w:w="123"/>
        <w:gridCol w:w="123"/>
        <w:gridCol w:w="938"/>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ind w:left="243" w:right="24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283"/>
              <w:ind w:left="1" w:right="243" w:hanging="0"/>
              <w:jc w:val="center"/>
              <w:rPr>
                <w:caps w:val="false"/>
                <w:smallCaps w:val="false"/>
              </w:rPr>
            </w:pPr>
            <w:r>
              <w:rPr>
                <w:caps w:val="false"/>
                <w:smallCaps w:val="false"/>
              </w:rPr>
              <w:t>€</w:t>
            </w:r>
          </w:p>
        </w:tc>
        <w:tc>
          <w:tcPr>
            <w:tcW w:w="195"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center"/>
          </w:tcPr>
          <w:p>
            <w:pPr>
              <w:pStyle w:val="TableContents"/>
              <w:bidi w:val="0"/>
              <w:ind w:left="138" w:right="13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283"/>
              <w:ind w:left="138" w:right="138" w:hanging="0"/>
              <w:jc w:val="center"/>
              <w:rPr>
                <w:caps w:val="false"/>
                <w:smallCaps w:val="false"/>
              </w:rPr>
            </w:pPr>
            <w:r>
              <w:rPr>
                <w:caps w:val="false"/>
                <w:smallCaps w:val="false"/>
              </w:rPr>
              <w:t>€</w:t>
            </w:r>
          </w:p>
        </w:tc>
        <w:tc>
          <w:tcPr>
            <w:tcW w:w="110" w:type="dxa"/>
            <w:tcBorders/>
            <w:vAlign w:val="center"/>
          </w:tcPr>
          <w:p>
            <w:pPr>
              <w:pStyle w:val="TableContents"/>
              <w:bidi w:val="0"/>
              <w:spacing w:before="0" w:after="283"/>
              <w:jc w:val="left"/>
              <w:rPr/>
            </w:pPr>
            <w:r>
              <w:rPr/>
              <w:t> </w:t>
            </w:r>
          </w:p>
        </w:tc>
      </w:tr>
      <w:tr>
        <w:trPr/>
        <w:tc>
          <w:tcPr>
            <w:tcW w:w="4955" w:type="dxa"/>
            <w:tcBorders/>
            <w:shd w:fill="EEEEEE" w:val="clear"/>
            <w:vAlign w:val="center"/>
          </w:tcPr>
          <w:p>
            <w:pPr>
              <w:pStyle w:val="TableContents"/>
              <w:bidi w:val="0"/>
              <w:spacing w:before="0" w:after="283"/>
              <w:jc w:val="left"/>
              <w:rPr/>
            </w:pPr>
            <w:r>
              <w:rPr/>
              <w:t>Net cash used in operating activities</w:t>
            </w:r>
          </w:p>
        </w:tc>
        <w:tc>
          <w:tcPr>
            <w:tcW w:w="60"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p>
        </w:tc>
        <w:tc>
          <w:tcPr>
            <w:tcW w:w="1154" w:type="dxa"/>
            <w:tcBorders/>
            <w:shd w:fill="EEEEEE" w:val="clear"/>
            <w:vAlign w:val="center"/>
          </w:tcPr>
          <w:p>
            <w:pPr>
              <w:pStyle w:val="TableContents"/>
              <w:bidi w:val="0"/>
              <w:spacing w:before="0" w:after="283"/>
              <w:jc w:val="right"/>
              <w:rPr/>
            </w:pPr>
            <w:r>
              <w:rPr/>
              <w:t>(323</w:t>
            </w:r>
          </w:p>
        </w:tc>
        <w:tc>
          <w:tcPr>
            <w:tcW w:w="195" w:type="dxa"/>
            <w:tcBorders/>
            <w:shd w:fill="EEEEEE" w:val="clear"/>
            <w:vAlign w:val="center"/>
          </w:tcPr>
          <w:p>
            <w:pPr>
              <w:pStyle w:val="TableContents"/>
              <w:bidi w:val="0"/>
              <w:spacing w:before="0" w:after="283"/>
              <w:jc w:val="left"/>
              <w:rPr/>
            </w:pPr>
            <w:r>
              <w:rPr/>
              <w:t>)</w:t>
            </w:r>
          </w:p>
        </w:tc>
        <w:tc>
          <w:tcPr>
            <w:tcW w:w="123"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p>
        </w:tc>
        <w:tc>
          <w:tcPr>
            <w:tcW w:w="938" w:type="dxa"/>
            <w:tcBorders/>
            <w:shd w:fill="EEEEEE" w:val="clear"/>
            <w:vAlign w:val="center"/>
          </w:tcPr>
          <w:p>
            <w:pPr>
              <w:pStyle w:val="TableContents"/>
              <w:bidi w:val="0"/>
              <w:spacing w:before="0" w:after="283"/>
              <w:jc w:val="right"/>
              <w:rPr/>
            </w:pPr>
            <w:r>
              <w:rPr/>
              <w:t>(668</w:t>
            </w:r>
          </w:p>
        </w:tc>
        <w:tc>
          <w:tcPr>
            <w:tcW w:w="110" w:type="dxa"/>
            <w:tcBorders/>
            <w:shd w:fill="EEEEEE"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Net cash from investing activities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w:t>
            </w:r>
          </w:p>
        </w:tc>
        <w:tc>
          <w:tcPr>
            <w:tcW w:w="19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EEEEEE" w:val="clear"/>
            <w:vAlign w:val="center"/>
          </w:tcPr>
          <w:p>
            <w:pPr>
              <w:pStyle w:val="TableContents"/>
              <w:bidi w:val="0"/>
              <w:spacing w:before="0" w:after="283"/>
              <w:jc w:val="left"/>
              <w:rPr/>
            </w:pPr>
            <w:r>
              <w:rPr/>
              <w:t>Net cash provided by financing activities</w:t>
            </w:r>
          </w:p>
        </w:tc>
        <w:tc>
          <w:tcPr>
            <w:tcW w:w="60" w:type="dxa"/>
            <w:tcBorders/>
            <w:shd w:fill="EEEEEE" w:val="clear"/>
            <w:vAlign w:val="center"/>
          </w:tcPr>
          <w:p>
            <w:pPr>
              <w:pStyle w:val="TableContents"/>
              <w:bidi w:val="0"/>
              <w:spacing w:before="0" w:after="283"/>
              <w:jc w:val="left"/>
              <w:rPr/>
            </w:pPr>
            <w:r>
              <w:rPr/>
              <w:t> </w:t>
            </w:r>
          </w:p>
        </w:tc>
        <w:tc>
          <w:tcPr>
            <w:tcW w:w="12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EEEEEE" w:val="clear"/>
            <w:tcMar>
              <w:bottom w:w="28" w:type="dxa"/>
            </w:tcMar>
            <w:vAlign w:val="center"/>
          </w:tcPr>
          <w:p>
            <w:pPr>
              <w:pStyle w:val="TableContents"/>
              <w:bidi w:val="0"/>
              <w:spacing w:before="0" w:after="283"/>
              <w:jc w:val="right"/>
              <w:rPr/>
            </w:pPr>
            <w:r>
              <w:rPr/>
              <w:t>1,370</w:t>
            </w:r>
          </w:p>
        </w:tc>
        <w:tc>
          <w:tcPr>
            <w:tcW w:w="195"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p>
        </w:tc>
        <w:tc>
          <w:tcPr>
            <w:tcW w:w="12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0" w:type="dxa"/>
            <w:tcBorders/>
            <w:shd w:fill="EEEEEE"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EEEEEE" w:val="clear"/>
            <w:vAlign w:val="center"/>
          </w:tcPr>
          <w:p>
            <w:pPr>
              <w:pStyle w:val="TableContents"/>
              <w:bidi w:val="0"/>
              <w:spacing w:before="0" w:after="283"/>
              <w:jc w:val="left"/>
              <w:rPr/>
            </w:pPr>
            <w:r>
              <w:rPr/>
              <w:t>Net increase/(decrease) in cash and cash equivalents</w:t>
            </w:r>
          </w:p>
        </w:tc>
        <w:tc>
          <w:tcPr>
            <w:tcW w:w="60" w:type="dxa"/>
            <w:tcBorders/>
            <w:shd w:fill="EEEEEE" w:val="clear"/>
            <w:vAlign w:val="center"/>
          </w:tcPr>
          <w:p>
            <w:pPr>
              <w:pStyle w:val="TableContents"/>
              <w:bidi w:val="0"/>
              <w:spacing w:before="0" w:after="283"/>
              <w:jc w:val="left"/>
              <w:rPr/>
            </w:pPr>
            <w:r>
              <w:rPr/>
              <w:t> </w:t>
            </w:r>
          </w:p>
        </w:tc>
        <w:tc>
          <w:tcPr>
            <w:tcW w:w="123"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54" w:type="dxa"/>
            <w:tcBorders>
              <w:bottom w:val="double" w:sz="6" w:space="0" w:color="000000"/>
            </w:tcBorders>
            <w:shd w:fill="EEEEEE" w:val="clear"/>
            <w:tcMar>
              <w:bottom w:w="28" w:type="dxa"/>
            </w:tcMar>
            <w:vAlign w:val="center"/>
          </w:tcPr>
          <w:p>
            <w:pPr>
              <w:pStyle w:val="TableContents"/>
              <w:bidi w:val="0"/>
              <w:spacing w:before="0" w:after="283"/>
              <w:jc w:val="right"/>
              <w:rPr/>
            </w:pPr>
            <w:r>
              <w:rPr/>
              <w:t>1,047</w:t>
            </w:r>
          </w:p>
        </w:tc>
        <w:tc>
          <w:tcPr>
            <w:tcW w:w="195"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p>
        </w:tc>
        <w:tc>
          <w:tcPr>
            <w:tcW w:w="123"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938" w:type="dxa"/>
            <w:tcBorders>
              <w:bottom w:val="double" w:sz="6" w:space="0" w:color="000000"/>
            </w:tcBorders>
            <w:shd w:fill="EEEEEE" w:val="clear"/>
            <w:tcMar>
              <w:bottom w:w="28" w:type="dxa"/>
            </w:tcMar>
            <w:vAlign w:val="center"/>
          </w:tcPr>
          <w:p>
            <w:pPr>
              <w:pStyle w:val="TableContents"/>
              <w:bidi w:val="0"/>
              <w:spacing w:before="0" w:after="283"/>
              <w:jc w:val="right"/>
              <w:rPr/>
            </w:pPr>
            <w:r>
              <w:rPr/>
              <w:t>(668</w:t>
            </w:r>
          </w:p>
        </w:tc>
        <w:tc>
          <w:tcPr>
            <w:tcW w:w="110" w:type="dxa"/>
            <w:tcBorders/>
            <w:shd w:fill="EEEEEE"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Operating Cash Flows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used in operations during 2025 were principally due to an increase in prepaid assets for travel-related advances for establishing operations.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 used in operating activities in 2024 was principally driven by higher VAT receivables, due to increased spending.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Financing Cash Flows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cash flows in 2025 related to cash advances by our CEO into the Company’s bank accounts, instead of making payments to Company’s vendors directly.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Noncash Financing Activities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Company issued Ordinary Shares to its executive officers and third parties in satisfaction of trade and related party advances in total of €6.5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Capital Transactions &amp; Commitments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Advisory Fees &amp; Share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a direct listing advisory engagement with Revere Securities LLC (“Revere”), pursuant to which Revere was appointed as the Company’s listing advisor in connection with its proposed direct listing on the Nasdaq Global Market. Under the terms of this engagement, Revere provides advisory services relating to listing preparation, coordination with professional advisors, investor engagement, and overall transaction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Revere has also been appointed to act as the Company’s lead market maker in connection with the direct listing, subject to applicable exchange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separate, non-exclusive financial advisory agreement with Maxim Group LLC (“Maxim”), pursuant to which Maxim provides general financial advisory and investment banking services to the Company. These services include advising on strategic planning, capital structure, potential financings, investor communications, and matters relating to a potential listing on a U.S.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Maxim agreement, the Company has agreed to pay customary advisory and success-based fees in connection with any financing or transaction introduced or supported by Maxim, including a cash fee based on a percentage of capital raised and equity-based compensation in the form of Ordinary Shares, subject to applicable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Revere and Maxim act in advisory capacities only. Neither arrangement constitutes a firm commitment underwriting, and neither party is acting as an underwriter in connection with the Company’s direct listing. This direct listing does not involve a firm commitment 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Revere engagement agreement and the Maxim financial advisory agreement are filed as exhibits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Secured Convertible Note Due September 2026 </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2026, the Company received $1,500,000 of cash related to the issuance of a $1,655,000 secured promissory note (“the Note”) from Streeterville Capital LLC, that matures six months from the date of issuance, at a 9% interest rate. The Company has three options to extend the maturity date through June 2027 for an additional fee. The Note is convertible into Ordinary Shares at a fixed price of $12.36 per share at the holder’s option anytime. The Note may be prepaid at a premium of 115% of the outstanding balance subject to Company not being in default. The Company is required to paydown the Note with 20% of any fundraising proceeds up to the maximum amount outstanding. The Note is secured by a security interest in certain intellectual property. Additionally, the investor received 200,000 warrants subject to the following conditions: i) a term of 12 months from the effective date of the Company’s listing on Nasdaq, ii) at an exercise price of $13.00 and iii) exercisable for cash only. The Company is required to register Ordinary Shares sufficient to cover the full conversion of the Note at the fixed price plus the shares underlying the warrants or approximately 139,925 shares. A copy of the term loan facility agreement is filed as Exhibit 10.12 to this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Term Loan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Company entered into an irrevocable committed term loan facility agreement with Vienna Capital Partners, LLC (the “Lender”), pursuant to which the Lender has agreed to make available to the Company a committed term loan facility of up to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the facility is conditional upon the Company’s Ordinary Shares being admitted to trading on the Nasdaq Global Market, and the availability period extends for 365 days from the date of commencement of trading. The Company may request one or more drawdowns during this period, in minimum amounts of $250,000,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drawn under the facility bear interest at a rate of 15.0% per annum and are repayable 15 months from the date of each drawdown. The Company may prepay amounts outstanding under the facility at any time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facility, the Company has agreed to pay a non-refundable origination fee equal to 1.0% of the total facility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facility are intended to be used for working capital and general corporate purposes. A copy of the term loan facility agreement is filed as Exhibit 10.12 to this Registration Statement.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Capital Needs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while the incurrence of debt financing or convertible debt would result in debt service obligations. Such debt instruments also could introduce covenants that might restrict our operations. We may require additional capital to support business growth and objectives, including acquiring complimentary companies to our business or additional intellectual property, and this capital might not be available on acceptable terms,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Davion Healthcare Finance Ltd, through its United Kingdom subsidiary Davion Healthcare Ltd (UK), to support its acquisition financing strategy, including a proposed institutional corporate bond programme. The proposed programme has not commenced and, as of the date of this Registration Statement, no bonds have been issued and no proceeds have been raised. Accordingly, no proceeds from the proposed bond programme have been included as presently available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consolidated financial statements and related notes requires us to make judgments, estimates and assumptions that affect the reported amounts of assets, liabilities, revenue and expenses, and related disclosure of contingent assets and liabilities. 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Our senior management has discussed the development, selection and disclosure of these estimates with our Board of Directors. Actual results may differ from these estimates under different assumptions or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 The following descriptions of critical accounting policies, judgments and estimates should be read in conjunction with our consolidated financial statements and related notes and other disclosures included in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Transferred – Related Party Transaction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issued 12,258,458 shares in a transfer of I.P at carry value from Davion Healthcare Ltd (UK) to Davion Healthcare Plc (Cyprus), under which, the transfer formed part of a single common-control transaction in which control over the intellectual property did not change before or after the transaction.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obtained through the common-control transfer, a collection of identifiable intellectual property rights at a point in time and obtained control over those rights. Davion Healthcare Ltd (UK) did not retain any obligation to perform future development activities or provide services to the Company, and the Company assumed full responsibility for completing and commercializing the technology. Management determined that the intellectual property was legally transferred to the Company as part of a common-control transaction in which there was no change in control over the intellectual property before or after the transfer.</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 Amortisation of Intellectual Property</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finite-lived intangible assets comprise a single class of transferred technology representing its core intellectual property. The intellectual property was recognised at its predecessor carrying amount of approximately €3.05 million and is subsequently carried at that amount less accumulated amortisation and any accumulated impairment losses. The intellectual property is amortised on a straight-line basis over a useful economic life of 10 years commencing on 6 February 2023. Accordingly, amortisation expense is reflected in the Company's restated financial statements</w:t>
      </w:r>
    </w:p>
    <w:p>
      <w:pPr>
        <w:pStyle w:val="TextBody"/>
        <w:bidi w:val="0"/>
        <w:jc w:val="left"/>
        <w:rPr>
          <w:caps w:val="false"/>
          <w:smallCaps w:val="false"/>
        </w:rPr>
      </w:pPr>
      <w:r>
        <w:rPr>
          <w:caps w:val="false"/>
          <w:smallCaps w:val="false"/>
        </w:rPr>
        <w:t> </w:t>
      </w:r>
    </w:p>
    <w:p>
      <w:pPr>
        <w:pStyle w:val="TextBody"/>
        <w:bidi w:val="0"/>
        <w:spacing w:before="0" w:after="0"/>
        <w:ind w:left="5" w:right="5"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Testing Methodology</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Company assesses whether there is any indication that the intellectual property may be impaired. Where such an indication exists, the Company estimates the recoverable amount of the cash-generating unit (‘CGU’) to which the intellectual property is allocated. The Company may also perform impairment assessments at other times where events or changes in circumstances indicate that the carrying amount may not be recoverable.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the CGU is determined based on value in use, which represents the present value of the future cash flows expected to be derived from the continued use of the CGU. This approach reflects management’s assessment of the economic benefits expected to be generated by the intellectual property through its use in the Company’s operations. Because the recoverable amount was determined using a value in use methodology, the impairment assessment does not represent a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its annual impairment assessment using a value-in-use model, which incorporates projected future cash flows that are expected to be generated through direct commercialization, licensing and distribution arrangements. associated with the Company’s intellectual property that are yet to be launched. The Company’s assessment is based in part on management’s evaluation, which incorporates information derived from a third party valuation prepared for inter management’s internal use, together with externally observable evidence, including the execution of an arm’s length licensing agreement with a third party. While management has applied judgment in assessing the methodologies and assumptions utilized by the third party valuation specialist, the Company does not rely on internal equity valuations, implied market capitalization or internally generated valuation multiples in assessing recoverability.</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assumptions used in estimating future cash flows, discount rates and other valuation inputs are solely for purposes of determining recoverable amount in accordance with IAS 36, Impairment of Assets, and do not represent a fair value measurement of the intellectual property under IFRS 13, Fair Value Measurement.</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1" w:after="1"/>
        <w:ind w:left="1" w:right="1"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key assumptions used in our discounted cash model included:</w:t>
      </w:r>
    </w:p>
    <w:p>
      <w:pPr>
        <w:pStyle w:val="TextBody"/>
        <w:bidi w:val="0"/>
        <w:spacing w:before="13" w:after="13"/>
        <w:ind w:left="13" w:right="13"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management’s projected cash flows for the period 2026 through 2031, including revenues and operating margins from contractual license terms and expected future product launches.</w:t>
            </w:r>
          </w:p>
        </w:tc>
      </w:tr>
    </w:tbl>
    <w:tbl>
      <w:tblPr>
        <w:tblW w:w="5343" w:type="dxa"/>
        <w:jc w:val="left"/>
        <w:tblInd w:w="0" w:type="dxa"/>
        <w:tblLayout w:type="fixed"/>
        <w:tblCellMar>
          <w:top w:w="0" w:type="dxa"/>
          <w:left w:w="0" w:type="dxa"/>
          <w:bottom w:w="0" w:type="dxa"/>
          <w:right w:w="0" w:type="dxa"/>
        </w:tblCellMar>
      </w:tblPr>
      <w:tblGrid>
        <w:gridCol w:w="38"/>
        <w:gridCol w:w="125"/>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180" w:type="dxa"/>
            <w:tcBorders/>
            <w:vAlign w:val="center"/>
          </w:tcPr>
          <w:p>
            <w:pPr>
              <w:pStyle w:val="TableContents"/>
              <w:bidi w:val="0"/>
              <w:spacing w:before="0" w:after="283"/>
              <w:jc w:val="both"/>
              <w:rPr/>
            </w:pPr>
            <w:r>
              <w:rPr/>
              <w:t>a terminal value calculated using a 2.5x EBIT multiple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progressively increasing discount rate reflecting the early-stage nature and risk of the Company’s product commercialization strategy 30% - 47.5%.</w:t>
            </w:r>
          </w:p>
        </w:tc>
      </w:tr>
    </w:tbl>
    <w:p>
      <w:pPr>
        <w:pStyle w:val="TextBody"/>
        <w:bidi w:val="0"/>
        <w:spacing w:before="3" w:after="3"/>
        <w:ind w:left="3" w:right="3"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test requires management to make significant estimates and assumptions regarding projected cash flows, inclusive of product commercialization timelines, expected market penetration, planned direct manufacturing/distribution and regional third-party manufacturers/distributors revenue growth, royalty structures, as well as risk adjusted discount rates reflecting the risk profile of the business. Management's forecasts reflect its current commercialization strategy, including anticipated direct product sales and potential regional manufacturing, licensing and distribution arrangements. These commercialization activities remain subject to execution risk, and actual results could differ materially from management's estimates and assumptions.</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5" w:right="5"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Sensitivity to Changes in Assumptions</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performed sensitivity analysis on the underlying key assumptions related to the projected cash flows and the risk adjusted discount rates. Management has determined that, while the recoverable amount of the CGU is sensitive to changes in certain key assumptions, reasonably possible changes in those assumptions, based on management’s assessment, would not be expected to result in the carrying amount of the CGU exceeding its recoverable amount as of the reporting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impairment testing performed, the recoverable amount of the intellectual property exceeded the carrying amount of the intellectual property at December 31, 2025. Accordingly, no indicators of impairment were identified and as a result, no impairment loss was recorded at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estimate of the value in use amount as of December 31, 2025 has increased following the transferred intellectual property in February 2023 due to regulatory registration of its products, technical milestones achieved and the signing of a 10 year $220 million global distribution agreement that supports commercial forecasts.</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5" w:right="5"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Losses</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carrying amount of the CGU exceeds its recoverable amount, an impairment loss is recognized in profit or loss. Any impairment loss recognised in respect of the Company's finite-lived intellectual property is accounted for in accordance with IAS 36. The intellectual property continues to be amortised over its remaining estimated useful economic life, subject to any revision of that useful life in accordance with IAS 38.</w:t>
      </w:r>
    </w:p>
    <w:p>
      <w:pPr>
        <w:pStyle w:val="TextBody"/>
        <w:bidi w:val="0"/>
        <w:spacing w:before="0" w:after="0"/>
        <w:ind w:left="5" w:right="5"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“Risk Factors — </w:t>
      </w:r>
      <w:r>
        <w:rPr>
          <w:rFonts w:ascii="Times New Roman;Times;Serif" w:hAnsi="Times New Roman;Times;Serif"/>
          <w:b w:val="false"/>
          <w:i/>
          <w:caps w:val="false"/>
          <w:smallCaps w:val="false"/>
          <w:sz w:val="20"/>
        </w:rPr>
        <w:t>We may not fully recover the value of our intellectual property portfolio</w:t>
      </w:r>
      <w:r>
        <w:rPr>
          <w:rFonts w:ascii="Times New Roman;Times;Serif" w:hAnsi="Times New Roman;Times;Serif"/>
          <w:b w:val="false"/>
          <w:i w:val="false"/>
          <w:caps w:val="false"/>
          <w:smallCaps w:val="false"/>
          <w:sz w:val="20"/>
        </w:rPr>
        <w:t>” for additional discussion of the uncertainties inherent in management’s estimates and the potential for such estimates to differ materially from the amounts reflected in our financial statements.</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 Company is a going concern and has sufficient sources of cash to operate for the next twelve months based upon its current cash resources, the ongoing financial support from the Company's CEO, the financing arrangements entered into during 2026 and anticipated future cash flows from commercialization of the Company's product portfolio. Such commercialization may include direct sales and manufacturing as well as regional or territory-specific licensing and distribution arrangements.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recent accounting pronouncements applicable to Davion as described in Note 2 “Adoption of new and Restated IFRS accounting standards, new accounting policies and changes in accounting policies”, in our December 31, 2025, audited consolidated financial statements contained elsewhere in this prospectus.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activities expose us to a variety of market risks. Our primary market risk exposures relate to currency risk and geopolitical market risk. To manage these risks and our exposure to the unpredictability of financial markets, we seek to minimize potential adverse effects on our financial performance where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Risk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risk manifests itself in transaction exposure, which relates to business transactions denominated in foreign currency required by operations (purchasing and selling) and/or financing (interest and amortization). We currently do not engage in transactional hedging or translational hedging to protect our net investment in our Cyprus operation. As the Company commences commercialization through direct product manufacturing and distribution and through third-party manufacturing, licensing or distribution arrangements in multiple jurisdictions, it expects to have transactional foreign currency exposure arising from product sales, purchases, license fees, royalties and other commercial transactions denominated in currencies other than its functional currency. See recent accounting pronouncements applicable to Davion as described in Note 2 “Adoption of new and Restated IFRS accounting standards, new accounting policies and changes in accounting policies”, in our December 31, 2025, audited consolidated financial statements contained elsewhere in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 Political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Note 13 to our annual consolidated financial statements, the Company has no direct exposure to Russia, Ukraine and Belarus or to Israel, the Gaza Strip and Iran and as such does not expect significant impact from direct exposure to these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limited direct exposure, the conflicts are expected to negatively impact the tourism and services industries in Cyprus. Furthermore, the increasing energy prices, fluctuations in foreign exchange rates, unease in stock market trading, rises in interest rates, supply chain disruptions and intensified inflationary pressures may indirectly impact the operations of the Company. The indirect implications will depend on the extent and duration of these crisis and remain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control and cannot predict the timing of the commencement of trading, the opening price, or the liquidity of the Company’s Ordinary Shares. Management’s focus following the commencement of trading will be on operating the business in accordance with applicable disclosure obligations and corporate governance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became effective pursuant to Section 8(a) of the Securities Act. Post-effective amendments filed after effectiveness are not required to be reviewed or commented upon by the Securities and Exchange Commission. The absence of Staff comments does not affect the legal effectiveness of the Registration Statement.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extBody"/>
        <w:bidi w:val="0"/>
        <w:jc w:val="center"/>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255"/>
        <w:gridCol w:w="4870"/>
      </w:tblGrid>
      <w:tr>
        <w:trPr/>
        <w:tc>
          <w:tcPr>
            <w:tcW w:w="2255" w:type="dxa"/>
            <w:tcBorders/>
            <w:vAlign w:val="center"/>
          </w:tcPr>
          <w:p>
            <w:pPr>
              <w:pStyle w:val="TableContents"/>
              <w:bidi w:val="0"/>
              <w:spacing w:before="0" w:after="283"/>
              <w:jc w:val="left"/>
              <w:rPr>
                <w:b/>
                <w:sz w:val="20"/>
              </w:rPr>
            </w:pPr>
            <w:r>
              <w:rPr>
                <w:b/>
                <w:sz w:val="20"/>
              </w:rPr>
              <w:t>Directors</w:t>
            </w:r>
          </w:p>
        </w:tc>
        <w:tc>
          <w:tcPr>
            <w:tcW w:w="4870"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4870" w:type="dxa"/>
            <w:tcBorders/>
            <w:vAlign w:val="center"/>
          </w:tcPr>
          <w:p>
            <w:pPr>
              <w:pStyle w:val="TableContents"/>
              <w:bidi w:val="0"/>
              <w:spacing w:before="0" w:after="283"/>
              <w:ind w:left="0" w:right="0" w:firstLine="200"/>
              <w:jc w:val="left"/>
              <w:rPr/>
            </w:pPr>
            <w:r>
              <w:rPr/>
              <w:t> </w:t>
            </w:r>
          </w:p>
        </w:tc>
      </w:tr>
      <w:tr>
        <w:trPr/>
        <w:tc>
          <w:tcPr>
            <w:tcW w:w="2255" w:type="dxa"/>
            <w:tcBorders/>
            <w:vAlign w:val="center"/>
          </w:tcPr>
          <w:p>
            <w:pPr>
              <w:pStyle w:val="TableContents"/>
              <w:bidi w:val="0"/>
              <w:spacing w:before="0" w:after="283"/>
              <w:jc w:val="left"/>
              <w:rPr>
                <w:sz w:val="20"/>
              </w:rPr>
            </w:pPr>
            <w:r>
              <w:rPr>
                <w:sz w:val="20"/>
              </w:rPr>
              <w:t>Jack Kaye</w:t>
            </w:r>
          </w:p>
        </w:tc>
        <w:tc>
          <w:tcPr>
            <w:tcW w:w="4870" w:type="dxa"/>
            <w:tcBorders/>
            <w:vAlign w:val="center"/>
          </w:tcPr>
          <w:p>
            <w:pPr>
              <w:pStyle w:val="TableContents"/>
              <w:bidi w:val="0"/>
              <w:spacing w:before="0" w:after="283"/>
              <w:ind w:left="0" w:right="0" w:firstLine="200"/>
              <w:jc w:val="left"/>
              <w:rPr/>
            </w:pPr>
            <w:r>
              <w:rPr/>
              <w:t> </w:t>
            </w:r>
          </w:p>
        </w:tc>
      </w:tr>
      <w:tr>
        <w:trPr/>
        <w:tc>
          <w:tcPr>
            <w:tcW w:w="2255" w:type="dxa"/>
            <w:tcBorders/>
            <w:vAlign w:val="center"/>
          </w:tcPr>
          <w:p>
            <w:pPr>
              <w:pStyle w:val="TableContents"/>
              <w:bidi w:val="0"/>
              <w:spacing w:before="0" w:after="283"/>
              <w:jc w:val="left"/>
              <w:rPr>
                <w:sz w:val="20"/>
              </w:rPr>
            </w:pPr>
            <w:r>
              <w:rPr>
                <w:sz w:val="20"/>
              </w:rPr>
              <w:t>George Barry Jackson</w:t>
            </w:r>
          </w:p>
        </w:tc>
        <w:tc>
          <w:tcPr>
            <w:tcW w:w="4870" w:type="dxa"/>
            <w:tcBorders/>
            <w:vAlign w:val="center"/>
          </w:tcPr>
          <w:p>
            <w:pPr>
              <w:pStyle w:val="TableContents"/>
              <w:bidi w:val="0"/>
              <w:spacing w:before="0" w:after="283"/>
              <w:ind w:left="0" w:right="0" w:firstLine="200"/>
              <w:jc w:val="left"/>
              <w:rPr>
                <w:sz w:val="20"/>
              </w:rPr>
            </w:pPr>
            <w:r>
              <w:rPr>
                <w:sz w:val="20"/>
              </w:rPr>
              <w:t xml:space="preserve">(Resigned 27 April 2024) </w:t>
            </w:r>
          </w:p>
        </w:tc>
      </w:tr>
      <w:tr>
        <w:trPr/>
        <w:tc>
          <w:tcPr>
            <w:tcW w:w="2255" w:type="dxa"/>
            <w:tcBorders/>
            <w:vAlign w:val="center"/>
          </w:tcPr>
          <w:p>
            <w:pPr>
              <w:pStyle w:val="TableContents"/>
              <w:bidi w:val="0"/>
              <w:spacing w:before="0" w:after="283"/>
              <w:jc w:val="left"/>
              <w:rPr>
                <w:sz w:val="20"/>
              </w:rPr>
            </w:pPr>
            <w:r>
              <w:rPr>
                <w:sz w:val="20"/>
              </w:rPr>
              <w:t>David Paul Alexander Over</w:t>
            </w:r>
          </w:p>
        </w:tc>
        <w:tc>
          <w:tcPr>
            <w:tcW w:w="4870" w:type="dxa"/>
            <w:tcBorders/>
            <w:vAlign w:val="center"/>
          </w:tcPr>
          <w:p>
            <w:pPr>
              <w:pStyle w:val="TableContents"/>
              <w:bidi w:val="0"/>
              <w:spacing w:before="0" w:after="283"/>
              <w:ind w:left="0" w:right="0" w:firstLine="200"/>
              <w:jc w:val="left"/>
              <w:rPr/>
            </w:pPr>
            <w:r>
              <w:rPr/>
              <w:t> </w:t>
            </w:r>
          </w:p>
        </w:tc>
      </w:tr>
      <w:tr>
        <w:trPr/>
        <w:tc>
          <w:tcPr>
            <w:tcW w:w="2255" w:type="dxa"/>
            <w:tcBorders/>
            <w:vAlign w:val="center"/>
          </w:tcPr>
          <w:p>
            <w:pPr>
              <w:pStyle w:val="TableContents"/>
              <w:bidi w:val="0"/>
              <w:spacing w:before="0" w:after="283"/>
              <w:jc w:val="left"/>
              <w:rPr>
                <w:sz w:val="20"/>
              </w:rPr>
            </w:pPr>
            <w:r>
              <w:rPr>
                <w:sz w:val="20"/>
              </w:rPr>
              <w:t>Jonathan Robin Chadwick</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27 April 2024)</w:t>
            </w:r>
          </w:p>
        </w:tc>
      </w:tr>
      <w:tr>
        <w:trPr/>
        <w:tc>
          <w:tcPr>
            <w:tcW w:w="2255" w:type="dxa"/>
            <w:tcBorders/>
            <w:vAlign w:val="center"/>
          </w:tcPr>
          <w:p>
            <w:pPr>
              <w:pStyle w:val="TableContents"/>
              <w:bidi w:val="0"/>
              <w:spacing w:before="0" w:after="283"/>
              <w:jc w:val="left"/>
              <w:rPr>
                <w:sz w:val="20"/>
              </w:rPr>
            </w:pPr>
            <w:r>
              <w:rPr>
                <w:sz w:val="20"/>
              </w:rPr>
              <w:t>Julian Fernand Sluyters</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27 April 2024)</w:t>
            </w:r>
          </w:p>
        </w:tc>
      </w:tr>
      <w:tr>
        <w:trPr/>
        <w:tc>
          <w:tcPr>
            <w:tcW w:w="2255" w:type="dxa"/>
            <w:tcBorders/>
            <w:vAlign w:val="center"/>
          </w:tcPr>
          <w:p>
            <w:pPr>
              <w:pStyle w:val="TableContents"/>
              <w:bidi w:val="0"/>
              <w:spacing w:before="0" w:after="283"/>
              <w:jc w:val="left"/>
              <w:rPr>
                <w:sz w:val="20"/>
              </w:rPr>
            </w:pPr>
            <w:r>
              <w:rPr>
                <w:sz w:val="20"/>
              </w:rPr>
              <w:t>Kevin Malcolm Riches</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29 April 2024)</w:t>
            </w:r>
          </w:p>
        </w:tc>
      </w:tr>
      <w:tr>
        <w:trPr/>
        <w:tc>
          <w:tcPr>
            <w:tcW w:w="2255" w:type="dxa"/>
            <w:tcBorders/>
            <w:vAlign w:val="center"/>
          </w:tcPr>
          <w:p>
            <w:pPr>
              <w:pStyle w:val="TableContents"/>
              <w:bidi w:val="0"/>
              <w:spacing w:before="0" w:after="283"/>
              <w:jc w:val="left"/>
              <w:rPr>
                <w:sz w:val="20"/>
              </w:rPr>
            </w:pPr>
            <w:r>
              <w:rPr>
                <w:sz w:val="20"/>
              </w:rPr>
              <w:t>Mark Bernard Battles</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27 April 2024)</w:t>
            </w:r>
          </w:p>
        </w:tc>
      </w:tr>
      <w:tr>
        <w:trPr/>
        <w:tc>
          <w:tcPr>
            <w:tcW w:w="2255" w:type="dxa"/>
            <w:tcBorders/>
            <w:vAlign w:val="center"/>
          </w:tcPr>
          <w:p>
            <w:pPr>
              <w:pStyle w:val="TableContents"/>
              <w:bidi w:val="0"/>
              <w:spacing w:before="0" w:after="283"/>
              <w:jc w:val="left"/>
              <w:rPr>
                <w:sz w:val="20"/>
              </w:rPr>
            </w:pPr>
            <w:r>
              <w:rPr>
                <w:sz w:val="20"/>
              </w:rPr>
              <w:t>Susan Matteson King</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29 April 2024)</w:t>
            </w:r>
          </w:p>
        </w:tc>
      </w:tr>
      <w:tr>
        <w:trPr/>
        <w:tc>
          <w:tcPr>
            <w:tcW w:w="2255" w:type="dxa"/>
            <w:tcBorders/>
            <w:vAlign w:val="center"/>
          </w:tcPr>
          <w:p>
            <w:pPr>
              <w:pStyle w:val="TableContents"/>
              <w:bidi w:val="0"/>
              <w:spacing w:before="0" w:after="283"/>
              <w:jc w:val="left"/>
              <w:rPr>
                <w:sz w:val="20"/>
              </w:rPr>
            </w:pPr>
            <w:r>
              <w:rPr>
                <w:sz w:val="20"/>
              </w:rPr>
              <w:t>Vasim Ul-Haq</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27 April 2024)</w:t>
            </w:r>
          </w:p>
        </w:tc>
      </w:tr>
      <w:tr>
        <w:trPr/>
        <w:tc>
          <w:tcPr>
            <w:tcW w:w="2255" w:type="dxa"/>
            <w:tcBorders/>
            <w:vAlign w:val="center"/>
          </w:tcPr>
          <w:p>
            <w:pPr>
              <w:pStyle w:val="TableContents"/>
              <w:bidi w:val="0"/>
              <w:spacing w:before="0" w:after="283"/>
              <w:jc w:val="left"/>
              <w:rPr>
                <w:sz w:val="20"/>
              </w:rPr>
            </w:pPr>
            <w:r>
              <w:rPr>
                <w:sz w:val="20"/>
              </w:rPr>
              <w:t>William Eric Peacock</w:t>
            </w:r>
          </w:p>
        </w:tc>
        <w:tc>
          <w:tcPr>
            <w:tcW w:w="4870" w:type="dxa"/>
            <w:tcBorders/>
            <w:vAlign w:val="center"/>
          </w:tcPr>
          <w:p>
            <w:pPr>
              <w:pStyle w:val="TableContents"/>
              <w:bidi w:val="0"/>
              <w:spacing w:before="0" w:after="283"/>
              <w:ind w:left="0" w:right="0" w:firstLine="200"/>
              <w:jc w:val="left"/>
              <w:rPr>
                <w:sz w:val="20"/>
              </w:rPr>
            </w:pPr>
            <w:r>
              <w:rPr>
                <w:sz w:val="20"/>
              </w:rPr>
              <w:t>(Appointed 1 February 2024 and resigned 29 April 2024)</w:t>
            </w:r>
          </w:p>
        </w:tc>
      </w:tr>
      <w:tr>
        <w:trPr/>
        <w:tc>
          <w:tcPr>
            <w:tcW w:w="2255" w:type="dxa"/>
            <w:tcBorders/>
            <w:vAlign w:val="center"/>
          </w:tcPr>
          <w:p>
            <w:pPr>
              <w:pStyle w:val="TableContents"/>
              <w:bidi w:val="0"/>
              <w:spacing w:before="0" w:after="283"/>
              <w:jc w:val="left"/>
              <w:rPr/>
            </w:pPr>
            <w:r>
              <w:rPr/>
              <w:t>Jan Dulman</w:t>
            </w:r>
          </w:p>
        </w:tc>
        <w:tc>
          <w:tcPr>
            <w:tcW w:w="4870" w:type="dxa"/>
            <w:tcBorders/>
            <w:vAlign w:val="center"/>
          </w:tcPr>
          <w:p>
            <w:pPr>
              <w:pStyle w:val="TableContents"/>
              <w:bidi w:val="0"/>
              <w:spacing w:before="0" w:after="283"/>
              <w:ind w:left="0" w:right="0" w:firstLine="200"/>
              <w:jc w:val="left"/>
              <w:rPr/>
            </w:pPr>
            <w:r>
              <w:rPr/>
              <w:t> </w:t>
            </w:r>
          </w:p>
        </w:tc>
      </w:tr>
      <w:tr>
        <w:trPr/>
        <w:tc>
          <w:tcPr>
            <w:tcW w:w="2255" w:type="dxa"/>
            <w:tcBorders/>
            <w:vAlign w:val="center"/>
          </w:tcPr>
          <w:p>
            <w:pPr>
              <w:pStyle w:val="TableContents"/>
              <w:bidi w:val="0"/>
              <w:spacing w:before="0" w:after="283"/>
              <w:jc w:val="left"/>
              <w:rPr/>
            </w:pPr>
            <w:r>
              <w:rPr/>
              <w:t>Andreas Ttofi</w:t>
            </w:r>
          </w:p>
        </w:tc>
        <w:tc>
          <w:tcPr>
            <w:tcW w:w="487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as a result of the postponement of the Cyprus Company’s listing plans, it was decided that such a large board of 10 directors was not required at that time, and the board was reduced to 2 executive directors. The directors that resigned all remained shareholders. Subsequent to these resignations in April 2024, in January 2025 when the Company had redomiciled in Ireland, Sir Eric Peacock, Kevin Riches, Susan M King and Julian Sluyters rejoined the board in non-executive capacities. In December 2025 Jan Dulman (non-executive director) and Andreas Ttofi (Chief Financial Officer) joined the board.</w:t>
      </w:r>
    </w:p>
    <w:p>
      <w:pPr>
        <w:pStyle w:val="TextBody"/>
        <w:bidi w:val="0"/>
        <w:ind w:left="0" w:right="0" w:firstLine="360"/>
        <w:jc w:val="left"/>
        <w:rPr/>
      </w:pPr>
      <w:r>
        <w:rPr/>
        <w:t> </w:t>
      </w:r>
    </w:p>
    <w:tbl>
      <w:tblPr>
        <w:tblW w:w="10205" w:type="dxa"/>
        <w:jc w:val="left"/>
        <w:tblInd w:w="0" w:type="dxa"/>
        <w:tblLayout w:type="fixed"/>
        <w:tblCellMar>
          <w:top w:w="0" w:type="dxa"/>
          <w:left w:w="0" w:type="dxa"/>
          <w:bottom w:w="0" w:type="dxa"/>
          <w:right w:w="0" w:type="dxa"/>
        </w:tblCellMar>
      </w:tblPr>
      <w:tblGrid>
        <w:gridCol w:w="2144"/>
        <w:gridCol w:w="8061"/>
      </w:tblGrid>
      <w:tr>
        <w:trPr/>
        <w:tc>
          <w:tcPr>
            <w:tcW w:w="2144" w:type="dxa"/>
            <w:tcBorders/>
            <w:vAlign w:val="center"/>
          </w:tcPr>
          <w:p>
            <w:pPr>
              <w:pStyle w:val="TableContents"/>
              <w:bidi w:val="0"/>
              <w:spacing w:before="0" w:after="283"/>
              <w:jc w:val="left"/>
              <w:rPr>
                <w:b/>
                <w:sz w:val="20"/>
              </w:rPr>
            </w:pPr>
            <w:r>
              <w:rPr>
                <w:b/>
                <w:sz w:val="20"/>
              </w:rPr>
              <w:t>Company Corporate Secretary:</w:t>
            </w:r>
          </w:p>
        </w:tc>
        <w:tc>
          <w:tcPr>
            <w:tcW w:w="8061" w:type="dxa"/>
            <w:tcBorders/>
            <w:vAlign w:val="center"/>
          </w:tcPr>
          <w:p>
            <w:pPr>
              <w:pStyle w:val="TableContents"/>
              <w:bidi w:val="0"/>
              <w:spacing w:before="0" w:after="283"/>
              <w:jc w:val="left"/>
              <w:rPr>
                <w:b/>
                <w:sz w:val="20"/>
              </w:rPr>
            </w:pPr>
            <w:r>
              <w:rPr>
                <w:b/>
                <w:sz w:val="20"/>
              </w:rPr>
              <w:t>Kurdam Limited</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Kurdam Limited provide Company secretarial services to Davion Healthcare Plc. Under Irish corporate law, as a public Company a secretary – individual or corporate must be appointed to manage filings of Irish corporate documents and organize shareholder meetings and resolutions along with votes cast. They are not a member of the board but act upon instructions form the board.</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left"/>
              <w:rPr>
                <w:b/>
                <w:sz w:val="20"/>
              </w:rPr>
            </w:pPr>
            <w:r>
              <w:rPr>
                <w:b/>
                <w:sz w:val="20"/>
              </w:rPr>
              <w:t>Company number:</w:t>
            </w:r>
          </w:p>
        </w:tc>
        <w:tc>
          <w:tcPr>
            <w:tcW w:w="8061" w:type="dxa"/>
            <w:tcBorders/>
            <w:vAlign w:val="center"/>
          </w:tcPr>
          <w:p>
            <w:pPr>
              <w:pStyle w:val="TableContents"/>
              <w:bidi w:val="0"/>
              <w:spacing w:before="0" w:after="283"/>
              <w:jc w:val="left"/>
              <w:rPr>
                <w:sz w:val="20"/>
              </w:rPr>
            </w:pPr>
            <w:r>
              <w:rPr>
                <w:sz w:val="20"/>
              </w:rPr>
              <w:t>772522</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both"/>
              <w:rPr>
                <w:b/>
                <w:sz w:val="20"/>
              </w:rPr>
            </w:pPr>
            <w:r>
              <w:rPr>
                <w:b/>
                <w:sz w:val="20"/>
              </w:rPr>
              <w:t>Registered office:</w:t>
            </w:r>
          </w:p>
        </w:tc>
        <w:tc>
          <w:tcPr>
            <w:tcW w:w="8061" w:type="dxa"/>
            <w:tcBorders/>
            <w:vAlign w:val="center"/>
          </w:tcPr>
          <w:p>
            <w:pPr>
              <w:pStyle w:val="TableContents"/>
              <w:bidi w:val="0"/>
              <w:spacing w:before="0" w:after="283"/>
              <w:jc w:val="both"/>
              <w:rPr>
                <w:b/>
                <w:sz w:val="20"/>
              </w:rPr>
            </w:pPr>
            <w:r>
              <w:rPr>
                <w:b/>
                <w:sz w:val="20"/>
              </w:rPr>
              <w:t>MC2 Accountants Limited</w:t>
            </w:r>
          </w:p>
        </w:tc>
      </w:tr>
      <w:tr>
        <w:trPr/>
        <w:tc>
          <w:tcPr>
            <w:tcW w:w="2144" w:type="dxa"/>
            <w:tcBorders/>
            <w:vAlign w:val="center"/>
          </w:tcPr>
          <w:p>
            <w:pPr>
              <w:pStyle w:val="TableContents"/>
              <w:bidi w:val="0"/>
              <w:spacing w:before="0" w:after="283"/>
              <w:jc w:val="both"/>
              <w:rPr/>
            </w:pPr>
            <w:r>
              <w:rPr/>
              <w:t> </w:t>
            </w:r>
          </w:p>
        </w:tc>
        <w:tc>
          <w:tcPr>
            <w:tcW w:w="8061" w:type="dxa"/>
            <w:tcBorders/>
            <w:vAlign w:val="center"/>
          </w:tcPr>
          <w:p>
            <w:pPr>
              <w:pStyle w:val="TableContents"/>
              <w:bidi w:val="0"/>
              <w:jc w:val="both"/>
              <w:rPr>
                <w:sz w:val="20"/>
              </w:rPr>
            </w:pPr>
            <w:r>
              <w:rPr>
                <w:sz w:val="20"/>
              </w:rPr>
              <w:t>Penrose Wharf</w:t>
            </w:r>
          </w:p>
          <w:p>
            <w:pPr>
              <w:pStyle w:val="TableContents"/>
              <w:bidi w:val="0"/>
              <w:jc w:val="both"/>
              <w:rPr>
                <w:sz w:val="20"/>
              </w:rPr>
            </w:pPr>
            <w:r>
              <w:rPr>
                <w:sz w:val="20"/>
              </w:rPr>
              <w:t>Penrose Quay</w:t>
            </w:r>
          </w:p>
          <w:p>
            <w:pPr>
              <w:pStyle w:val="TableContents"/>
              <w:bidi w:val="0"/>
              <w:spacing w:before="0" w:after="283"/>
              <w:jc w:val="both"/>
              <w:rPr>
                <w:sz w:val="20"/>
              </w:rPr>
            </w:pPr>
            <w:r>
              <w:rPr>
                <w:sz w:val="20"/>
              </w:rPr>
              <w:t>Cork</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sz w:val="20"/>
              </w:rPr>
            </w:pPr>
            <w:r>
              <w:rPr>
                <w:sz w:val="20"/>
              </w:rPr>
              <w:t>Ireland T23 XN53</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left"/>
              <w:rPr>
                <w:b/>
                <w:sz w:val="20"/>
              </w:rPr>
            </w:pPr>
            <w:r>
              <w:rPr>
                <w:b/>
                <w:sz w:val="20"/>
              </w:rPr>
              <w:t>Auditor:</w:t>
            </w:r>
          </w:p>
        </w:tc>
        <w:tc>
          <w:tcPr>
            <w:tcW w:w="806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WithumSmith+Brown, PC</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sz w:val="20"/>
              </w:rPr>
            </w:pPr>
            <w:r>
              <w:rPr>
                <w:sz w:val="20"/>
              </w:rPr>
              <w:t>1835 Market Street, Suite 1710</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sz w:val="20"/>
              </w:rPr>
            </w:pPr>
            <w:r>
              <w:rPr>
                <w:sz w:val="20"/>
              </w:rPr>
              <w:t>Philadelphia, PA, 19103-2945</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sz w:val="20"/>
              </w:rPr>
            </w:pPr>
            <w:r>
              <w:rPr>
                <w:sz w:val="20"/>
              </w:rPr>
              <w:t>United States of America</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both"/>
              <w:rPr>
                <w:b/>
                <w:sz w:val="20"/>
              </w:rPr>
            </w:pPr>
            <w:r>
              <w:rPr>
                <w:b/>
                <w:sz w:val="20"/>
              </w:rPr>
              <w:t>Bankers:</w:t>
            </w:r>
          </w:p>
        </w:tc>
        <w:tc>
          <w:tcPr>
            <w:tcW w:w="8061" w:type="dxa"/>
            <w:tcBorders/>
            <w:vAlign w:val="center"/>
          </w:tcPr>
          <w:p>
            <w:pPr>
              <w:pStyle w:val="TableContents"/>
              <w:bidi w:val="0"/>
              <w:spacing w:before="0" w:after="283"/>
              <w:jc w:val="both"/>
              <w:rPr>
                <w:sz w:val="20"/>
              </w:rPr>
            </w:pPr>
            <w:r>
              <w:rPr>
                <w:b/>
                <w:sz w:val="20"/>
              </w:rPr>
              <w:t>Bank of Cyprus</w:t>
            </w:r>
            <w:r>
              <w:rPr>
                <w:sz w:val="20"/>
              </w:rPr>
              <w:t xml:space="preserve"> </w:t>
            </w:r>
          </w:p>
        </w:tc>
      </w:tr>
      <w:tr>
        <w:trPr/>
        <w:tc>
          <w:tcPr>
            <w:tcW w:w="2144" w:type="dxa"/>
            <w:tcBorders/>
            <w:vAlign w:val="center"/>
          </w:tcPr>
          <w:p>
            <w:pPr>
              <w:pStyle w:val="TableContents"/>
              <w:bidi w:val="0"/>
              <w:spacing w:before="0" w:after="283"/>
              <w:jc w:val="both"/>
              <w:rPr/>
            </w:pPr>
            <w:r>
              <w:rPr/>
              <w:t> </w:t>
            </w:r>
          </w:p>
        </w:tc>
        <w:tc>
          <w:tcPr>
            <w:tcW w:w="8061" w:type="dxa"/>
            <w:tcBorders/>
            <w:vAlign w:val="center"/>
          </w:tcPr>
          <w:p>
            <w:pPr>
              <w:pStyle w:val="TableContents"/>
              <w:bidi w:val="0"/>
              <w:spacing w:before="0" w:after="283"/>
              <w:jc w:val="both"/>
              <w:rPr/>
            </w:pPr>
            <w:r>
              <w:rPr/>
              <w:t> </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banking services to the Company through its Cyprus subsidiary Davion Healthcare Ltd, maintaining USD $, Euro € and GBP £ accounts for the Company.</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b/>
                <w:sz w:val="20"/>
              </w:rPr>
            </w:pPr>
            <w:r>
              <w:rPr>
                <w:b/>
                <w:sz w:val="20"/>
              </w:rPr>
              <w:t>Bank of Ireland</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left"/>
              <w:rPr/>
            </w:pPr>
            <w:r>
              <w:rPr/>
              <w:t> </w:t>
            </w:r>
          </w:p>
        </w:tc>
      </w:tr>
      <w:tr>
        <w:trPr/>
        <w:tc>
          <w:tcPr>
            <w:tcW w:w="2144" w:type="dxa"/>
            <w:tcBorders/>
            <w:vAlign w:val="center"/>
          </w:tcPr>
          <w:p>
            <w:pPr>
              <w:pStyle w:val="TableContents"/>
              <w:bidi w:val="0"/>
              <w:spacing w:before="0" w:after="283"/>
              <w:jc w:val="left"/>
              <w:rPr/>
            </w:pPr>
            <w:r>
              <w:rPr/>
              <w:t> </w:t>
            </w:r>
          </w:p>
        </w:tc>
        <w:tc>
          <w:tcPr>
            <w:tcW w:w="8061" w:type="dxa"/>
            <w:tcBorders/>
            <w:vAlign w:val="center"/>
          </w:tcPr>
          <w:p>
            <w:pPr>
              <w:pStyle w:val="TableContents"/>
              <w:bidi w:val="0"/>
              <w:spacing w:before="0" w:after="283"/>
              <w:jc w:val="both"/>
              <w:rPr/>
            </w:pPr>
            <w:r>
              <w:rPr/>
              <w:t>Provide banking services to the Company in Ireland, maintaining USD $, Euro € and GBP £ accounts for the Company.</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f1_013"/>
      <w:bookmarkEnd w:id="38"/>
      <w:r>
        <w:rPr>
          <w:rFonts w:ascii="Times New Roman;Times;Serif" w:hAnsi="Times New Roman;Times;Serif"/>
          <w:b/>
          <w:i w:val="false"/>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Mission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afford early non-invasive indication of possible physical abnormalities including breast growths, testicular growths, blood flow and more.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was originally incorporated in Cyprus as a public limited Company on November 29, 2022 and subsequently re-domiciled its Company headquarters to Ireland in September 2024, maintaining an operation in Cyprus through our wholly owned subsidiary, Davion Healthcare Ltd (Cyprus). We moved the Company from Cyprus to Ireland within the European Union community, where it can more easily focus on developing its range of home tests for a range of home test products, to identify potential medical conditions and provide early warning to enable further clinical examination where applicable.</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third party research and development (Universities and specialized companies) together with outsourced manufacturing and design, to make products, which are then patented (where applicable), manufactured, sold and internationally distributed through planned direct manufacturing/distribution and regional third-party manufacturers/distributors agreements.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Model</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under a flexible commercialization model pursuant to which it designs, develops and, where applicable, patents medical products and non-diagnostic devices and may manufacture, market, sell and distribute those products directly, through members of the Davion group, or through third-party manufacturers, licensees and distributors appointed on a regional or territory-specific basis.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of Licensing Arrangements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standard form of licensing agreement, where such licensee is granted the right, on an exclusive or non-exclusive basis depending on the territory and product, to manufacture and/or distribute the licensed product within a defined geographic region. The Company typically retains ownership of all intellectual property and grants the licensee a limited, revocable right to use the Company’s patents, trademarks, and proprietary know-how solely for the purpose of manufacturing and commercializing the licensed product in the agreed territory.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Licensees are generally responsible for: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Regulatory compliance and filings in their licensed territories, including product registration, notifications, and ongoing post-market surveillance;</w:t>
            </w:r>
          </w:p>
        </w:tc>
      </w:tr>
    </w:tbl>
    <w:p>
      <w:pPr>
        <w:pStyle w:val="TextBody"/>
        <w:bidi w:val="0"/>
        <w:spacing w:before="0" w:after="0"/>
        <w:ind w:left="0" w:right="0" w:firstLine="4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Manufacturing and quality systems, including compliance with applicable quality management standards (such as ISO 13485) and local regulatory manufacturing requirements;</w:t>
            </w:r>
          </w:p>
        </w:tc>
      </w:tr>
    </w:tbl>
    <w:p>
      <w:pPr>
        <w:pStyle w:val="TextBody"/>
        <w:bidi w:val="0"/>
        <w:spacing w:before="0" w:after="0"/>
        <w:ind w:left="0" w:right="0" w:firstLine="4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Marketing, sales, and distribution, including pricing strategy, channel development, and relationships with pharmacies, online platforms, and, where applicable, healthcare institutions; and</w:t>
            </w:r>
          </w:p>
        </w:tc>
      </w:tr>
    </w:tbl>
    <w:p>
      <w:pPr>
        <w:pStyle w:val="TextBody"/>
        <w:bidi w:val="0"/>
        <w:spacing w:before="0" w:after="0"/>
        <w:ind w:left="0" w:right="0" w:firstLine="41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2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75" w:type="dxa"/>
            <w:tcBorders/>
            <w:vAlign w:val="center"/>
          </w:tcPr>
          <w:p>
            <w:pPr>
              <w:pStyle w:val="TableContents"/>
              <w:bidi w:val="0"/>
              <w:spacing w:before="0" w:after="283"/>
              <w:jc w:val="both"/>
              <w:rPr/>
            </w:pPr>
            <w:r>
              <w:rPr/>
              <w:t>Customer service, warranty administration, and product recalls within their territories.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retains responsibility for: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Product design and development and ongoing improvements to the underlying technology platform;</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In territories where the Company wishes to commence product distribution, it will be responsible for regulatory compliance until such time that a licensee has been appointed and assumed control of the territory;</w:t>
            </w:r>
          </w:p>
        </w:tc>
      </w:tr>
    </w:tbl>
    <w:p>
      <w:pPr>
        <w:pStyle w:val="TextBody"/>
        <w:bidi w:val="0"/>
        <w:spacing w:before="0" w:after="0"/>
        <w:ind w:left="0" w:right="0" w:firstLine="41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25"/>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125" w:type="dxa"/>
            <w:tcBorders/>
            <w:vAlign w:val="center"/>
          </w:tcPr>
          <w:p>
            <w:pPr>
              <w:pStyle w:val="TableContents"/>
              <w:bidi w:val="0"/>
              <w:spacing w:before="0" w:after="283"/>
              <w:jc w:val="both"/>
              <w:rPr/>
            </w:pPr>
            <w:r>
              <w:rPr/>
              <w:t>Maintenance and enforcement of intellectual property rights; and</w:t>
            </w:r>
          </w:p>
        </w:tc>
      </w:tr>
    </w:tbl>
    <w:p>
      <w:pPr>
        <w:pStyle w:val="TextBody"/>
        <w:bidi w:val="0"/>
        <w:spacing w:before="0" w:after="0"/>
        <w:ind w:left="0" w:right="0" w:firstLine="4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Providing technical support and training materials to licensees as reasonably required under the applicable license agreements.</w:t>
            </w:r>
          </w:p>
        </w:tc>
      </w:tr>
    </w:tbl>
    <w:p>
      <w:pPr>
        <w:pStyle w:val="TextBody"/>
        <w:bidi w:val="0"/>
        <w:spacing w:before="0" w:after="0"/>
        <w:ind w:left="380" w:right="356" w:firstLine="31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licensing agreements typically provide for: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 upfront or periodic licensing fee payable upon execution of the agreement or upon the achievement of specified regulatory or commercial milestones; and</w:t>
            </w:r>
          </w:p>
        </w:tc>
      </w:tr>
    </w:tbl>
    <w:p>
      <w:pPr>
        <w:pStyle w:val="TextBody"/>
        <w:bidi w:val="0"/>
        <w:spacing w:before="0" w:after="0"/>
        <w:ind w:left="0" w:right="0" w:firstLine="4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Ongoing royalty payments calculated as a percentage of gross or net sales, or on a per-unit basis, for products manufactured and/or sold by the licensee within the licensed territory.</w:t>
            </w:r>
          </w:p>
        </w:tc>
      </w:tr>
    </w:tbl>
    <w:p>
      <w:pPr>
        <w:pStyle w:val="TextBody"/>
        <w:bidi w:val="0"/>
        <w:spacing w:before="0" w:after="0"/>
        <w:ind w:left="380" w:right="356" w:firstLine="31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Commrrcialisation Strategy and Distribution Agreements</w:t>
      </w:r>
    </w:p>
    <w:p>
      <w:pPr>
        <w:pStyle w:val="TextBody"/>
        <w:bidi w:val="0"/>
        <w:ind w:left="107"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entered into a global manufacturing and distribution agreement with NeuRX Health Inc. covering BreastCheck. That agreement has subsequently been terminated and NeuRX no longer holds exclusive or global manufacturing or distribution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in respect of BreastCheck.</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termination of the agreement, the Company has adopted a flexible commercialization strategy. The Company may manufacture and distribute BreastCheck and its other products directly, through subsidiaries or other members of the Davion group, or through third-party manufacturers and distributors appointed on a regional or territory-specific basis. Depending upon the relevant market and commercial circumstances, such arrangements may be exclusive or non-exclusive and may relate separately to manufacturing, distribution, marketing or combinations of those activities.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this structure provides greater flexibility to select commercial partners according to their capabilities and geographic market strength rather than relying upon a single global counterparty. The Company may also elect to retain direct control of manufacturing or distribution in markets where management believes doing so is commercially advantageous.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NeuRX Health Inc. may continue to participate in the commercialization of BreastCheck as a non-exclusive distributor in the United States, subject to the terms of any separate distribution arrangement entered into between NeuRX and the Company. NeuRX does not hold exclusive worldwide manufacturing or distribution rights following termination of the previous agreement.</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evaluating manufacturing and distribution arrangements in the United States, Europe, the United Kingdom and other international markets for BreastCheck and its other products. There can be no assurance as to the timing or terms upon which any additional manufacturing, licensing or distribution agreements will be entered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 Markets for Additional Licensing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seeking additional regional and global licensees in North America, Europe, and the Middle East for its other products, including FootFlow, Testic, and ThermaDerm. These arrangements are expected to follow a similar licensing structure, with territorial exclusivity and performance-based milestones designed to promote timely commercialization and market penetration.</w:t>
      </w:r>
    </w:p>
    <w:p>
      <w:pPr>
        <w:pStyle w:val="TextBody"/>
        <w:bidi w:val="0"/>
        <w:spacing w:before="0" w:after="0"/>
        <w:ind w:left="380" w:right="356" w:firstLine="31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recognize revenue from licensing fees and royalties in accordance with IFRS 15, Revenue from Contracts with Customers, based on the satisfaction of performance obligations under its licensing agreements. Cash flows are expected to be derived primarily from milestone-based license fees and recurring royalty payments tied to the volume of products manufactured and/or sold by licensees.</w:t>
      </w:r>
    </w:p>
    <w:p>
      <w:pPr>
        <w:pStyle w:val="TextBody"/>
        <w:bidi w:val="0"/>
        <w:spacing w:before="0" w:after="0"/>
        <w:ind w:left="380" w:right="356" w:firstLine="31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Limitations of the Licensing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planned direct manufacturing/distribution and in addition through regional third-party manufacturers/distributors or licensees. The Company’s ability to generate revenue and expand its market presence is dependent on the performance, regulatory compliance, and commercialization efforts both directly and indirectly. Delays in regulatory filings, manufacturing scale-up, or market adoption by licensees could materially and adversely affect the Company’s revenues and growth prospects. There can be no assurance that the Company will be able to secure additional licensees for its products on commercially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strategic model is licensing-driven, we continually evaluate market conditions and the performance of our licensees. If we determine that a licensee has failed to meet its obligations or if commercial, operational, or regulatory conditions change, we may elect to assume responsibility for manufacturing, sales, or distribution of one or more of our products directly. Such a transition may require additional capabilities, resources, and investment and may involve a period of operational realignment as we establish or expand internal commercialization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Competitive Strengths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focused our unique technologies on an exceptionally affordable home-based test system. Our strength as a Company at this early stage is twofold, that we possess our own IP, patents and technology; and that to date, there are no other known competitors attempting to utilize like-technologies.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intellectual property portfolio consists primarily of issued patents and pending patent applications covering its thermographic medical non-diagnostics testing platform, including the use of thermochromic liquid crystal film, differential temperature mapping, non-invasive home non-diagnostic configurations, and related software and system architectures. The Company seeks to protect its technology through a combination of patents, trademarks, confidentiality agreements, and proprietary know-how. The following table summarizes the Company’s major patents and patent applications as of the date of this prospectus:</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Patents and Patent Applications</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US K832989 (510(k) reference only)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Differential temperature sensing using thermochromic liquid crystal film for breast thermography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regulatory clearance reference, not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United States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Expired 2015</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380" w:right="363" w:firstLine="315"/>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GB2208671.4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Differential temperature sensing using thermochromic liquid crystal film for breast thermography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March 2023</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PCT/IB2023/056131</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Differential temperature sensing using thermochromic liquid crystal film thermography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Worldwide including USA EU and UK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May 2023</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2043</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US18873943</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Differential temperature sensing using thermochromic liquid crystal film thermography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USA</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June 2024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GB2619725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Differential temperature sensing using thermochromic liquid crystal film thermography</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June 2022</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Date: March 2025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US 63801907 GB2502375.5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FootFlow</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UK USA</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Aug 2024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GB2502366.4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Testic</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UK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Aug 2024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Application No: PCT 2502368.0</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 and Technology: ThermaDerm</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Protection: Patent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PCT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Date: May 2024</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 Expected Expiration: 2044</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granted patents were transferred as part of the intellectual property in February of 2023. The Company’s issued patents generally have a statutory term of 20 years from the earliest non-provisional filing date, subject to the payment of maintenance fees and potential term adjustments. The Company’s pending patent applications, including international PCT filings, are subject to examination and may not result in issued patents in all jurisdictions.</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 protection, the Company relies on trade secrets, proprietary manufacturing processes, software source code, and confidentiality and invention assignment agreements with employees, consultants, and commercial partners to protect its intellectual property.</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intellectual property portfolio provides meaningful protection for its core technology; however, there can be no assurance that its patents will not be challenged, invalidated, circumvented, or that its pending applications will result in issued patents with claims of sufficient scope to provide competitive advantage.</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product as being “market ready,” we mean that the product design, specifications, and manufacturing processes have been completed, and that manufacturing could commence immediately if required. The term does not refer to the completion of all regulatory filings or approvals in every jurisdiction.</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have completed applicable Class I medical device self-declaration and registration or notification requirements in their initial target markets, the USA and Europe, and are commercially prepared for launch.</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ThermaDerm and Testic, the remaining regulatory step prior to commercial launch in any particular country is the filing of a manufacturer’s self-declaration of conformity for a Class I medical device and the required registration or notification with the relevant regulatory authority in the country of intended distribution. These filings are generally exempt from premarket notification (510(k)) requirements. However, regulatory authorities may, on a post-market basis, request additional information to confirm the Company’s stated device classification and, in some cases, may require further testing or product modifications.</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products — BreastCheck, FootFlow, Testic, and ThermaDerm — are designed and intended to be sold directly to consumers over the counter, without the involvement of a healthcare professional, subject to compliance with applicable regulatory requirements in each jurisdiction.</w:t>
      </w:r>
    </w:p>
    <w:p>
      <w:pPr>
        <w:pStyle w:val="TextBody"/>
        <w:bidi w:val="0"/>
        <w:spacing w:before="0" w:after="0"/>
        <w:ind w:left="380" w:right="363"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sell a product which may be sold over the counter, is a product-specific determination and does not apply to all Class I medical devices generally. BreastCheck and Footfalls have completed applicable Class I medical device self-declaration and registration or notification requirements in their initial target markets and are commercially prepared for launch.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Testic and ThermaDerm are generally exempt from premarket notification (510(k)) requirements, beyond the manufacturer’s standard Class I medical device declaration of conformity and the required registration or notification of the products with the relevant regulatory authority in each country in which the products are planned to be marketed.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BreastCheck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specializes in the design, development, manufacture and global distribution of non-invasive home tests to provide early-stage warning of health anomalies.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home test products, including BreastCheck and FootFlow, are based on the principle of thermography, which measures and maps variations in skin surface temperature. Subtle changes in temperature can indicate underlying physiological conditions. For example, areas of increased blood flow or inflammation typically generate more heat, while poor circulation may present as cooler regions.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capture these variations, we use liquid crystal film, a thin layer of cholesteric liquid crystals engineered to respond to narrow temperature ranges (typically 32–38°C, the normal skin surface range). When the film is placed on the skin, its molecular structure shifts in response to local temperature, producing distinct color changes. These color patterns form a thermal map that highlights relative differences across the skin surface.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approach is non-invasive, real-time, and reversible. It allows for comparative assessment between symmetrical body areas—such as left versus right breast tissue, or one foot versus the other—to identify meaningful differences that may indicate potential health anomalies.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use thermography to detect small but meaningful changes in skin surface temperature. Liquid crystal film placed on the skin produces visible color shifts in response to temperature differences, creating a thermal map that highlights areas of potential concern.</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configuration is designed for home use and is listed as a Class I medical device under applicable self-declaration and registration frameworks. The Company has not conducted large-scale, randomized clinical trials for the current home-use configuration. Product performance and reliability are supported by internal testing, prototype validation, and applicable regulatory registrations for Class I medical devices. Safety and efficacy of our products are determinations that are solely within the authority of the FDA or similar foreign regulators.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to our product pipeline, this technology underpins: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b/>
                <w:sz w:val="20"/>
              </w:rPr>
              <w:t>BreastCheck</w:t>
            </w:r>
            <w:r>
              <w:rPr>
                <w:sz w:val="20"/>
              </w:rPr>
              <w:t xml:space="preserve"> – Early indication of abnormal breast tissue patterns where localized heat may signal increased vascular activity.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b/>
                <w:sz w:val="20"/>
              </w:rPr>
              <w:t>FootFlow</w:t>
            </w:r>
            <w:r>
              <w:rPr>
                <w:sz w:val="20"/>
              </w:rPr>
              <w:t xml:space="preserve"> – Monitoring of diabetic circulation in the feet and hands, where cooler regions may indicate impaired blood flow and hotter regions may suggest infection or inflammation.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b/>
                <w:sz w:val="20"/>
              </w:rPr>
              <w:t>Other pipeline products</w:t>
            </w:r>
            <w:r>
              <w:rPr>
                <w:sz w:val="20"/>
              </w:rPr>
              <w:t xml:space="preserve"> – Including skin health and wound monitoring applications, where localized temperature changes can track inflammation or healing progress.</w:t>
            </w:r>
          </w:p>
        </w:tc>
      </w:tr>
    </w:tbl>
    <w:p>
      <w:pPr>
        <w:pStyle w:val="TextBody"/>
        <w:bidi w:val="0"/>
        <w:ind w:left="72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artificial intelligence enhances this process. Images of the liquid crystal film taken with a smartphone are transmitted to a secure back-end server, where AI algorithms quantify color patterns, adjust for lighting and environmental variables, and recognize thermal anomalies with greater sensitivity than manual observation. This provides standardized, reproducible results and supports scalable remote monitoring.</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combining liquid crystal film with AI-enabled analysis, our products convert simple temperature mapping into actionable health insights, making early indication of potential anomalies more accessible and reliable for home users.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product for roll-out is “BreastCheck”. BreastCheck is a non-invasive test for breast abnormalities. The test can be carried out at home and takes less than 15 minutes. The results are immediate and BreastCheck provides a guide in the first stage identification of potential breast abnormalities. While BreastCheck is not a replacement for a mammogram, it is positioned as an early stage first line investigative device for identifying potential anomalies which may require further clinical investigation. The patented technology behind BreastCheck is registered with the FDA as Class I medical device in the USA under group registration number 3027486037, as a Class I medical device. It is non diagnostic and non-invasive, and as such, is eligible as a product that may be sold over the counter in pharmacies or on-line without medical prescription. It is also registered with the relevant regulatory authorities in the EU and the UK. The Company has filed and have had accepted and registered, a patent under the following patent reference GB2208671.4 (dated 06/14/2022). The patent gives coverage in the USA as part of a group of countries covered under international patent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is a non-invasive, low-cost way to routinely monitor for breast abnormalities and is intended to be used as an adjunct to established procedures for the indication of breast disease, such as clinical breast examination and mammography. Abnormalities within the breast frequently produce additional breast heat. BreastCheck averages temperature at three areas on each breast. By comparing the temperature of corresponding areas of one breast to the other, and entering the results on our Mobile App, results can be interpreted immediately. A non-invasive adjunct to mammograms in aiding early-stage warnings of breast abnormalities, through the use of measuring temperature differentials.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 opportunity for this product is global. Breast cancer is the most common cancer among women worldwide, accounting for about 25% of all cancers in women. The incidence of breast cancer varies widely by region, with the highest rates typically seen in North America, Europe, and Australia. Breast cancer is less common in Asia and Africa, but the incidence is increasing in these regions due to increasing rates of westernization and urbanization.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factors that can influence the incidence of breast cancer, including genetics, hormonal factors, lifestyle factors (such as diet, physical activity, and alcohol consumption), and reproductive history.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note that the incidence of Breast Cancer has been increasing over the past few decades in many countries, likely due to a combination of factors such as increased awareness and indication of the disease, as well as changes in risk factors such as later age at childbirth and increased use of hormone replacement therapy.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USA alone in 2022 the estimated population of women between the age of 20–70 was 106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www.statista.com_Society_Demographics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Europe recorded that there are over 200 million women in this age bracket.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sources: UNDESA, Eurostat, World Bank – World Development Indicators data.</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Centers for Disease Control and Prevention (CDC), about 240,000 cases of breast cancer are diagnosed in women in the United States each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Breast Cancer Research Foundation estimates that in 2023, an estimated 297,790 new cases of invasive breast cancer will be diagnosed in women in the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World Health Organization (WHO) reports that in 2020, there were 2.3 million women diagnosed with breast cancer globally.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 cancer is currently the most common cancer globally, accounting for 12.5% of all new annual cancer cases worldwide. Here are the American Cancer Society estimates for breast cancer just in the United States for 2022 - This information is provided by Breastcancer.org: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About 13% (about 1 in 8) of U.S. women are going to develop invasive breast cancer in the course of their life.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In 2022, an estimated 287,850 new cases of invasive breast cancer are expected to be diagnosed in women in the U.S., along with 51,400 new cases of non-invasive (in situ) breast cancer.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About 2,710 new cases of invasive breast cancer were expected to be diagnosed in men in 2022. A man’s lifetime risk of breast cancer is about 1 in 833.</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As of January 2023, there are more than 3.8 million women with a history of breast cancer in the U.S. This includes women currently being treated and women who have finished treatment.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Breast cancer is the most commonly diagnosed cancer among American women. In 2023, it’s estimated that about 30% of newly diagnosed cancers in women are going to be breast cancers.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Breast cancer incidence rates in the United States began decreasing in the year 2000, after increasing for the previous two decades. They dropped by 7% from 2002 to 2003 alone. One theory is that this decrease was partially due to the reduced use of hormone replacement therapy (HRT) by women after the results of a large study called the Women’s Health Initiative were published in 2002. These results suggested a connection between HRT and increased breast cancer risk. In recent years, incidence rates have increased slightly by 0.5% per year.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 woman’s risk of breast cancer nearly doubles if she has a first-degree relative (mother, sister, daughter) who has been diagnosed with breast cancer. Approximately 15% of women who get breast cancer have a family member diagnosed with it.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About 5% to 10% of breast cancers can be linked to known gene mutations inherited from one’s mother or father. Mutations in the BRCA1 and BRCA2 genes are the most common. On average, women with a BRCA1 mutation have up to a 72% lifetime risk of developing breast cancer. Women with a BRCA2 mutation have up to a 69% risk. Breast cancer that is positive for the BRCA1 or BRCA2 mutations tends to develop more often in younger women. An increased ovarian cancer risk is also associated with these genetic mutations. In men, BRCA2 mutations are associated with a lifetime breast cancer risk of about 6.8%; BRCA1 mutations are a less frequent cause of breast cancer in men.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About 85% of breast cancers occur in women who have no family history of breast cancer. These occur due to genetic mutations that happen as a result of the aging process and life in general, rather than inherited mutations.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The most significant risk factors for breast cancer are being a woman and getting older.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About 43,250 women in the U.S. are expected to die in 2022 from breast cancer. Breast cancer death rates have been decreasing steadily since 1989, for an overall decline of 43% through 2020. These decreases are thought to be the result of treatment advances and earlier indication through screening. However, the decline has slowed slightly in recent years.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Breast cancer is one of the leading causes of cancer-related death in women in the United States, second only to lung cancer.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 cancer is the most diagnosed cancer globally. It accounts for 1 in 4 cancer cases among women and is the leading cause of death from cancer in women. The estimated 2.2 million new cases indicate that one in every 10 cancers diagnosed in 2020 is breast cancer. In 2020, there were an estimated 684,996 deaths from breast cancer, with a disproportionate number of these deaths occurring in low-resource settings.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 rates for breast cancer are very high when the cancer is detected early and where treatment is available. Unfortunately, 50 to 80% of breast cancer cases are diagnosed at an advanced stage 2 in many low- and middle-income countries, when the cancer is more difficult to treat, is more expensive to do so, and is usually incurable.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above statistics, and the fact that the near exclusive method of detecting and verifying breast formations today is a mammogram, it can only be assumed that there is a large and open market of women who would wish to monitor their health for potential breast anomalies in the privacy of their own home.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the second non-invasive home test product in our portfolio, utilizing the same proprietary technology platform as BreastCheck. FootFlow is specifically designed to diagnose Peripheral Arterial Disease (PAD) and Diabetes. Diabetes is estimated to affect approximately 530 million adults worldwide, with a global prevalence of 10.5 percent among adults aged 20 to 79 years [1,2]. Type 2 diabetes represents approximately 98 percent of global diabetes diagnoses, although this proportion varies widely among countries [3]. In an analysis of data from the National Health Interview Survey (2016 and 2017), the prevalence of diagnosed type 2 diabetes among adults in the United States was 8.5 percent [4]. Other national databases, such as the Center for Disease Control and Prevention Diabetes Surveillance System, reported in 2022 a prevalence of diagnosed diabetes of approximately 11.3 percent of adults (37.3 million people; 28.7 million with diagnosed diabetes, an estimated 8.5 million undiagnosed, and 95 percent of whom have type 2 diabetes) (Source: NIH, WHO, CDC)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FootFlow is a non-invasive test for comparing skin temperature at your toes. The test can be carried out at home and takes 10 minutes. The results are almost immediate, and by comparing the resulting temperatures of the toes on the left foot to those on the right foot, results can be an early-stage guide for clinicians with respect to Peripheral Arterial Disease (PAD) and Diabetes. Like BreastCheck, FootFlow is registered with the FDA as Class I medical device under registration number 3027486037 (Patent number USA63801907 dated 05/08/2025) which is the same group number that BreastCheck is registered 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blood circulation in the feet, being a common symptom of both medical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FootFlow is a reliable and accurate way to routinely monitor foot temperatures which can be used as an adjunct to established procedures for the indication and/or treatment of both PAD and Diabetes, amongst other medical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comparing the temperature of the toes on each foot, and then entering the results either on our Mobile Application or our Website, the results can be interpreted almost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with diabetes for example may experience lower skin temperature in their toes, due to various factors associated with the condition. Diabetes can affect the blood vessels and nerves that supply the extremities, leading to a reduction in blood flow and damage to the nerves (peripheral neuropathy). This can result in a decrease in sensation and poor circulation in the feet, leading to cooler skin temperature.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Product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continually looking to improve and further develop our existing products. In the future development pipeline, there is a range of other non-invasive home tests covering a wide variety of medical conditions which the Company expects to roll out over the next few years. However, currently no third party research and development work is taking place as the four home tests are market ready and the Company is focusing on commercialization for the time being.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product development regime, all products are both patented and trademarked where applicable. The Company also registers its products with the various regulatory or authorities such as in the USA (FDA), Europe (CE), and the United Kingdom (UKCA) to enable over the counter sales to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Intellectual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develop and protect proprietary technology in the field of home testing.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significant capabilities in product engineering, development, and design, which have enabled us to create proprietary systems and technologies in the field of non-invasive home medical testing. Our strategy is to focus on areas where there is a clear unmet medical need and where few, if any, direct competitors currently offer effective solutions, particularly in the early-stage identification of potential health anomalies. By targeting these underserved markets, we aim to establish strong first-mover advantages and create intellectual property that can serve as a foundation for long-term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these innovations is critical to our success. To accomplish this, we rely on a combination of patents, patent applications, trade secrets, employee and third-party nondisclosure agreements, copyright laws, trademarks, intellectual property licenses, and other contractual protections. We intend to continue developing unique home test technologies and to file additional patent applications covering our devices, systems, and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BreastCheck, we are pursuing a pipeline of other non-invasive home tests that leverage our core competencies in anomaly indication. These development programs are intended to expand our portfolio into broader areas of health screening and monitoring, creating multiple potential revenue streams. However, if we are unable to secure and maintain strong intellectual property rights around these innovations, or if competitors are able to replicate our technologies without infringing our rights, our ability to achieve and sustain a competitive advantage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 Regarding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product as being “market ready,” we mean that the product design, specifications, and manufacturing processes have been completed, and that manufacturing could commence immediately if required. The term does not refer to the completion of all regulatory filings or approvals in every jurisdiction.</w:t>
      </w:r>
    </w:p>
    <w:p>
      <w:pPr>
        <w:pStyle w:val="TextBody"/>
        <w:bidi w:val="0"/>
        <w:spacing w:before="0" w:after="0"/>
        <w:ind w:left="380" w:right="0" w:firstLine="3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products — BreastCheck, FootFlow, Testic, and ThermaDerm — are designed and intended to be sold directly to consumers over the counter, without the involvement of a healthcare professional, subject to compliance with applicable regulatory requirements in each jurisdiction.</w:t>
      </w:r>
    </w:p>
    <w:p>
      <w:pPr>
        <w:pStyle w:val="TextBody"/>
        <w:bidi w:val="0"/>
        <w:spacing w:before="0" w:after="0"/>
        <w:ind w:left="380" w:right="0" w:firstLine="3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sell a product over the counter is a product-specific determination and does not apply to all Class I medical devices generally.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have completed applicable Class I medical device self-declaration and registration or notification requirements in their initial target markets and are commercially prepared for launch.</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Testic and ThermaDerm are generally exempt from premarket notification (510(k)) requirements prior to launch beyond the manufacturer’s standard Class I medical device declaration of conformity and the required registration or notification of the products with the relevant test portal authority in each country in which the products are planned to be marketed.</w:t>
      </w:r>
    </w:p>
    <w:p>
      <w:pPr>
        <w:pStyle w:val="TextBody"/>
        <w:bidi w:val="0"/>
        <w:spacing w:before="0" w:after="0"/>
        <w:ind w:left="380" w:right="0" w:firstLine="3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have completed applicable Class I medical device self-declaration and registration or notification requirements in their initial target markets, the USA and Europe, and are commercially prepared for launch.</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ThermaDerm and Testic, the remaining regulatory step prior to commercial launch in any particular country is the filing of a manufacturer’s self-declaration of conformity for a Class I medical device and the required registration or notification with the relevant regulatory authority in the country of intended distribution. These filings are generally exempt from premarket notification (510(k)) requirements. However, regulatory authorities may, on a post-market basis, request additional information to confirm the Company’s stated device classification and, in some cases, may require further testing or product modifications.</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38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development, preclinical, clinical trials (where applicable), as well as the manufacture, labelling, marketing, sales, record-keeping, advertising, distribution, and promotion of medical device products are subject to extensive and rigorous government regulation in the United States and in other countries in which Company’s products are sought to be marketed.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obtaining authorization to market our products varies, depending on the product categorization and the country, from merely notifying the authorities of intent to sell, to lengthy formal approval procedures which often require detailed laboratory and clinical testing and other costly and time-consuming processes. The main regulatory bodies which require extensive clinical testing are the Food and Drug Administration (“FDA”) in the United States, the Health Products Regulatory Authority (European Union), the Medicines and Healthcare products Regulatory Agency (MHRA) in the United Kingdom and Health Canada. The process in each country varies considerably depending on the nature of the test, the perceived risk to the user and patient.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Union — CE Marking</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(EU) 2017/745 on Medical Devices (MDR)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European Union, our products are regulated under Regulation (EU) 2017/745 on medical devices (the “MDR”) and are intended to be classified as Class I non-invasive medical devices under the classification rules set forth in Annex VIII of the MDR. Class I devices are those that present a low risk to users and patients and, in most cases, may be placed on the market without the involvement of a notified body, provided the device is not sterile, does not have a measuring function, and is not reusable surgical instrumentation.</w:t>
      </w:r>
    </w:p>
    <w:p>
      <w:pPr>
        <w:pStyle w:val="TextBody"/>
        <w:bidi w:val="0"/>
        <w:spacing w:before="0" w:after="0"/>
        <w:ind w:left="40" w:right="105" w:firstLine="323"/>
        <w:jc w:val="both"/>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Conformity Assessment and Self-Declaration</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Class I devices, the manufacturer may demonstrate conformity through a self-declaration of conformity. This process requires the manufacturer to establish and document that the device meets the General Safety and Performance Requirements (GSPRs) set out in Annex I of the MDR. These requirements cover, among other things, device safety, clinical performance, risk management, chemical, physical and biological properties, labelling, and instructions for use.</w:t>
      </w:r>
    </w:p>
    <w:p>
      <w:pPr>
        <w:pStyle w:val="TextBody"/>
        <w:bidi w:val="0"/>
        <w:spacing w:before="0" w:after="0"/>
        <w:ind w:left="40" w:right="105" w:firstLine="324"/>
        <w:jc w:val="both"/>
        <w:rPr>
          <w:caps w:val="false"/>
          <w:smallCaps w:val="false"/>
        </w:rPr>
      </w:pPr>
      <w:r>
        <w:rPr>
          <w:caps w:val="false"/>
          <w:smallCaps w:val="false"/>
        </w:rPr>
        <w:t> </w:t>
      </w:r>
    </w:p>
    <w:p>
      <w:pPr>
        <w:pStyle w:val="TextBody"/>
        <w:bidi w:val="0"/>
        <w:spacing w:before="0" w:after="0"/>
        <w:ind w:left="40" w:right="105" w:firstLine="3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Technical Documentation</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placing a product on the market, the manufacturer must prepare and maintain technical documentation in accordance with Annex II and Annex III of the MDR, which includes: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detailed device description and specification, including intended purpose and variants together with Risk Management documentation,</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demonstrating identification, evaluation, control, and monitoring of risks throughout the product lifecycle;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Clinical evaluation </w:t>
      </w:r>
      <w:r>
        <w:rPr>
          <w:rFonts w:ascii="Times New Roman;Times;Serif" w:hAnsi="Times New Roman;Times;Serif"/>
          <w:b w:val="false"/>
          <w:i w:val="false"/>
          <w:caps w:val="false"/>
          <w:smallCaps w:val="false"/>
          <w:sz w:val="20"/>
        </w:rPr>
        <w:t>demonstrating performance and safety, which may include clinical literature, equivalence data, and post-market clinical follow-up plans;</w:t>
      </w:r>
    </w:p>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Device description and intended purpose;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Risk management and performance data;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and quality control processes;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Labelling and instructions for use in English;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 post-market surveillance and vigilance plan;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Quality Management System:</w:t>
            </w:r>
          </w:p>
        </w:tc>
      </w:tr>
    </w:tbl>
    <w:p>
      <w:pPr>
        <w:pStyle w:val="TextBody"/>
        <w:bidi w:val="0"/>
        <w:spacing w:before="0" w:after="0"/>
        <w:ind w:left="364" w:right="7856"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manufacturer must establish and maintain a quality management system (“QMS”) appropriate to the device and its regulatory classification. While certification to ISO 13485 is not mandatory for Class I devices, many manufacturers adopt this standard to demonstrate conformity with MDR requirements and to facilitate market access and regulatory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Operators and Authorized Representatives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located outside the European Union must appoint an EU Authorized Representative, who acts as a regulatory contact point and holds certain compliance responsibilities under the MDR. Importers and distributors are also considered economic operators and are required to verify that the device bears the CE mark, that a declaration of conformity has been drawn up, and that the manufacturer has fulfilled applicable registration obligations. As Davion Healthcare Plc is an Irish registered Company and Ireland is a member state of the European Union, no EU Authorized Representative is required.</w:t>
      </w:r>
    </w:p>
    <w:p>
      <w:pPr>
        <w:pStyle w:val="TextBody"/>
        <w:bidi w:val="0"/>
        <w:spacing w:before="0" w:after="0"/>
        <w:ind w:left="364" w:right="0" w:hanging="0"/>
        <w:jc w:val="both"/>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UDI Requirements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commercialization, manufacturers must register themselves and their devices in the European Database on Medical Devices (“EUDAMED”), where available, or with the relevant national competent authority. Devices are assigned a Unique Device Identification (“UDI”) to enable traceability throughout the supply chain and post-market lifecycle.</w:t>
      </w:r>
    </w:p>
    <w:p>
      <w:pPr>
        <w:pStyle w:val="TextBody"/>
        <w:bidi w:val="0"/>
        <w:spacing w:before="0" w:after="0"/>
        <w:ind w:left="40" w:right="104" w:firstLine="324"/>
        <w:jc w:val="both"/>
        <w:rPr>
          <w:caps w:val="false"/>
          <w:smallCaps w:val="false"/>
        </w:rPr>
      </w:pPr>
      <w:r>
        <w:rPr>
          <w:caps w:val="false"/>
          <w:smallCaps w:val="false"/>
        </w:rPr>
        <w:t> </w:t>
      </w:r>
    </w:p>
    <w:p>
      <w:pPr>
        <w:pStyle w:val="TextBody"/>
        <w:bidi w:val="0"/>
        <w:spacing w:before="0" w:after="0"/>
        <w:ind w:left="40" w:right="104" w:firstLine="3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 Marking and Market Placement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conformity is demonstrated and the EU Declaration of Conformity is signed, the manufacturer may affix the CE mark and place the device on the EU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Post-Market Surveillance and Vigilance</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commercialization, manufacturers are subject to ongoing post-market surveillance obligations, including the collection and analysis of performance and safety data, periodic safety update reporting where applicable, and vigilance reporting of serious incidents and field safety corrective actions. National competent authorities have the power to request technical documentation, conduct audits and inspections, and require corrective measures, including product modification, suspension, or withdrawal from the market if a device is found not to comply with</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MDR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9"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 — UKCA Marking</w:t>
      </w:r>
    </w:p>
    <w:p>
      <w:pPr>
        <w:pStyle w:val="TextBody"/>
        <w:bidi w:val="0"/>
        <w:spacing w:before="0" w:after="0"/>
        <w:ind w:left="39"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Medical Devices Regulations 2002 (as amended)</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Kingdom, medical devices are regulated by the Medicines and Healthcare products Regulatory Agency (“MHRA”) under the UK Medical Devices Regulations 2002, as amended following the United Kingdom’s withdrawal from the European Union. Our products are intended to be classified as Class I medical devices under the applicable UK classification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Conformity Assessment and Self-Certification</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Class I devices, manufacturers may place products on the UK market through a self-certification and UK Declaration of Conformity process, without the involvement of a UK Approved Body, provided that the device is not sterile, does not have a measuring function, and does not otherwise require third-party conformity assessment.</w:t>
      </w:r>
    </w:p>
    <w:p>
      <w:pPr>
        <w:pStyle w:val="TextBody"/>
        <w:bidi w:val="0"/>
        <w:spacing w:before="0" w:after="0"/>
        <w:ind w:left="40" w:right="103" w:firstLine="324"/>
        <w:jc w:val="both"/>
        <w:rPr>
          <w:caps w:val="false"/>
          <w:smallCaps w:val="false"/>
        </w:rPr>
      </w:pPr>
      <w:r>
        <w:rPr>
          <w:caps w:val="false"/>
          <w:smallCaps w:val="false"/>
        </w:rPr>
        <w:t> </w:t>
      </w:r>
    </w:p>
    <w:p>
      <w:pPr>
        <w:pStyle w:val="TextBody"/>
        <w:bidi w:val="0"/>
        <w:spacing w:before="0" w:after="0"/>
        <w:ind w:left="40" w:right="103" w:firstLine="3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Technical Documentation</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placing a product on the UK market, the manufacturer must prepare and maintain technical documentation demonstrating compliance with the applicable essential requirements, including:</w:t>
      </w:r>
    </w:p>
    <w:p>
      <w:pPr>
        <w:pStyle w:val="TextBody"/>
        <w:bidi w:val="0"/>
        <w:spacing w:before="0" w:after="0"/>
        <w:ind w:left="40" w:right="6815"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Device description and intended purpose;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Risk management and performance data;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Manufacturing and quality control processes;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Labelling and instructions for use in English;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 post-market surveillance and vigilance plan;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Quality Management System:</w:t>
            </w:r>
          </w:p>
        </w:tc>
      </w:tr>
    </w:tbl>
    <w:p>
      <w:pPr>
        <w:pStyle w:val="TextBody"/>
        <w:bidi w:val="0"/>
        <w:spacing w:before="0" w:after="0"/>
        <w:ind w:left="40" w:right="105" w:firstLine="324"/>
        <w:jc w:val="both"/>
        <w:rPr>
          <w:caps w:val="false"/>
          <w:smallCaps w:val="false"/>
        </w:rPr>
      </w:pPr>
      <w:r>
        <w:rPr>
          <w:caps w:val="false"/>
          <w:smallCaps w:val="false"/>
        </w:rPr>
        <w:t> </w:t>
      </w:r>
    </w:p>
    <w:p>
      <w:pPr>
        <w:pStyle w:val="TextBody"/>
        <w:bidi w:val="0"/>
        <w:spacing w:before="0" w:after="0"/>
        <w:ind w:left="40" w:right="105" w:firstLine="324"/>
        <w:jc w:val="both"/>
        <w:rPr>
          <w:caps w:val="false"/>
          <w:smallCaps w:val="false"/>
        </w:rPr>
      </w:pPr>
      <w:r>
        <w:rPr>
          <w:caps w:val="false"/>
          <w:smallCaps w:val="false"/>
        </w:rPr>
        <w:t> </w:t>
      </w:r>
    </w:p>
    <w:p>
      <w:pPr>
        <w:pStyle w:val="TextBody"/>
        <w:bidi w:val="0"/>
        <w:spacing w:before="0" w:after="0"/>
        <w:ind w:left="40" w:right="105" w:firstLine="32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0" w:right="105"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manufacturer must establish and maintain an appropriate quality management system. While formal certification to ISO 13485 is not mandatory for Class I devices, it is commonly adopted to support regulatory compliance and facilitate MHRA inspections.</w:t>
      </w:r>
    </w:p>
    <w:p>
      <w:pPr>
        <w:pStyle w:val="TextBody"/>
        <w:bidi w:val="0"/>
        <w:spacing w:before="0" w:after="0"/>
        <w:ind w:left="364" w:right="0" w:hanging="0"/>
        <w:jc w:val="both"/>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Responsible Person and Economic Operators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located outside the United Kingdom must appoint a UK Responsible Person, who acts as the point of contact with the MHRA and ensures that the manufacturer has complied with its regulatory obligations. Importers and distributors are required to verify that products are properly marked and registered prior to placing them on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Device Listing</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must register themselves and their Class I devices with the MHRA through the UK device registration system before placing the products on the UK market. Registration includes submission of device and manufacturer information and confirmation of conformity assessment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4"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UKCA Marking and Market Placement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conformity has been demonstrated and the UK Declaration of Conformity has been signed, the manufacturer may affix the UKCA mark (or, during applicable transition periods, the CE mark as permitted by UK regulations) and place the device on the UK market.</w:t>
      </w:r>
    </w:p>
    <w:p>
      <w:pPr>
        <w:pStyle w:val="TextBody"/>
        <w:bidi w:val="0"/>
        <w:spacing w:before="0" w:after="0"/>
        <w:ind w:left="40" w:right="104" w:firstLine="324"/>
        <w:jc w:val="both"/>
        <w:rPr>
          <w:caps w:val="false"/>
          <w:smallCaps w:val="false"/>
        </w:rPr>
      </w:pPr>
      <w:r>
        <w:rPr>
          <w:caps w:val="false"/>
          <w:smallCaps w:val="false"/>
        </w:rPr>
        <w:t> </w:t>
      </w:r>
    </w:p>
    <w:p>
      <w:pPr>
        <w:pStyle w:val="TextBody"/>
        <w:bidi w:val="0"/>
        <w:spacing w:before="0" w:after="0"/>
        <w:ind w:left="40" w:right="104" w:firstLine="3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Post-Market Surveillance and Enforcement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are subject to ongoing post-market surveillance and vigilance requirements, including reporting serious incidents, implementing field safety corrective actions, and maintaining traceability records. The MHRA has the authority to request technical documentation, conduct inspections, and require corrective measures, including product modification, suspension, or withdrawal from the market, if a device is determined not to comply with applicable regulatory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nature of the Company’s registration, manufacturing and distribution of its products in each jurisdiction and the product itself, will dictate the compliance regime a product is subject to. The Company’s strategy is to minimize its product imposed government regulatory compliance through focusing on Class I medical devices through planned direct manufacturing/distribution and regional third-party manufacturers/distributors.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Exposures for BreastCheck in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will be manufactured and distributed in the United States by an independent licensee that is registered with the FDA as Class I medical device. The licensee is responsible for compliance with the FDA’s quality system, labeling, and reporting requirements applicable to Class I devices. While the Company maintains certain contractual rights to monitor quality and regulatory compliance, it does not control the licensees’ operations or FDA interactions. Accordingly, the Company’s exposure to regulatory risk arises indirectly through its reliance on licensees for compliance and through the potential reputational and commercial effects of any enforcement action or compliance failure affecting licensed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use thermography to detect small but meaningful changes in skin surface temperature. Liquid crystal film placed on the skin produces visible color shifts in response to temperature differences, creating a thermal map that highlights areas of potential concern.</w:t>
      </w:r>
    </w:p>
    <w:p>
      <w:pPr>
        <w:pStyle w:val="TextBody"/>
        <w:bidi w:val="0"/>
        <w:spacing w:before="0" w:after="0"/>
        <w:ind w:left="380" w:right="354"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configuration is designed for home use and is registered as a Class I medical device under applicable self-declaration and registration frameworks. The Company has not conducted large-scale, randomized clinical trials for the current home-use configuration. Product performance and reliability are supported by internal testing, prototype validation, and applicable regulatory registrations for Class I medical devices. Safety and efficacy of our products are determinations that are solely within the authority of the FDA or similar foreign regulators.</w:t>
      </w:r>
    </w:p>
    <w:p>
      <w:pPr>
        <w:pStyle w:val="TextBody"/>
        <w:bidi w:val="0"/>
        <w:spacing w:before="0" w:after="0"/>
        <w:ind w:left="380" w:right="354" w:firstLine="315"/>
        <w:jc w:val="both"/>
        <w:rPr>
          <w:caps w:val="false"/>
          <w:smallCaps w:val="false"/>
        </w:rPr>
      </w:pPr>
      <w:r>
        <w:rPr>
          <w:caps w:val="false"/>
          <w:smallCaps w:val="false"/>
        </w:rPr>
        <w:t> </w:t>
      </w:r>
    </w:p>
    <w:p>
      <w:pPr>
        <w:pStyle w:val="TextBody"/>
        <w:bidi w:val="0"/>
        <w:spacing w:before="0" w:after="0"/>
        <w:ind w:left="380" w:right="354" w:firstLine="315"/>
        <w:jc w:val="both"/>
        <w:rPr>
          <w:caps w:val="false"/>
          <w:smallCaps w:val="false"/>
        </w:rPr>
      </w:pPr>
      <w:r>
        <w:rPr>
          <w:caps w:val="false"/>
          <w:smallCaps w:val="false"/>
        </w:rPr>
        <w:t> </w:t>
      </w:r>
    </w:p>
    <w:p>
      <w:pPr>
        <w:pStyle w:val="TextBody"/>
        <w:bidi w:val="0"/>
        <w:spacing w:before="0" w:after="0"/>
        <w:ind w:left="380" w:right="354" w:firstLine="315"/>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80" w:right="354"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under its license for BreastCheck, the Company is obligated to provide access to its proprietary test portal to the licensee, which is essential to the functionality of the BreastCheck product. Through the test portal, the Company will collect and maintain health-related and personal information from users globally, through its connected applications and data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test portal and proprietary software platform are used to display, process, and transmit thermal imagery generated by the Company’s products. The Company does not believe that this software requires separate premarket regulatory clearance or approval as a standalone medical device in the United States, European Union, or Middle East, because it does not independently perform diagnostic decision-making or automated clinical interpretation and is used as a supporting visualization and data management tool.</w:t>
      </w:r>
    </w:p>
    <w:p>
      <w:pPr>
        <w:pStyle w:val="TextBody"/>
        <w:bidi w:val="0"/>
        <w:spacing w:before="0" w:after="0"/>
        <w:ind w:left="380" w:right="0" w:firstLine="318"/>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test portal and AI analysis platform are not currently regulated as standalone medical devices (Software as a Medical Device) in our principal jurisdictions; however, regulators may in the future determine that certain software functions fall within SaMD frameworks.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proprietary medical thermal imaging software that is approved for medical use in the United States, Europe, and the Middle East. However, regulatory authorities may, in the future, determine that certain software functionalities constitute regulated medical device software, which could require additional regulatory filings, approvals, or modifications to the Company’s software platform.</w:t>
      </w:r>
    </w:p>
    <w:p>
      <w:pPr>
        <w:pStyle w:val="TextBody"/>
        <w:bidi w:val="0"/>
        <w:spacing w:before="0" w:after="0"/>
        <w:ind w:left="380" w:right="358" w:firstLine="31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responsible for compliance with HIPAA and related federal and state privacy and data-security requirements, and will implement administrative and technical safeguards to protect such information. The Company will periodically reviews its systems and vendor arrangements to ensure compliance with evolving regulations and to mitigate the risk of unauthorized access or disclosure. Non-compliance, cybersecurity incidents, or new regulatory obligations could adversely affect the Company’s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additional information regarding the compliance requirements for Class I medical devices with the FDA, as well as U.S. Federal and State data privacy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Food and Drug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BreastCheck and FootFlow sold in the United States are medical devices subject to the Federal Food, Drug, and Cosmetic Act (“FDCA”), as implemented and enforced by the U.S. Food and Drug Administration (“FDA”). Certain products sold in the United States require FDA clearance to market under Section 510(k) of the FDCA, which our products are not subject too currently. Other products sold in the United States require premarket approval (“PMA”)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or by our licensee suppliers to comply with applicable regulatory requirements can result in enforcement action by the FDA or other regulatory authorities, which may result in sanctions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25"/>
        <w:gridCol w:w="801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untitled letters, warning letters, fines, injunctions, consent decrees and civil penalties;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unanticipated expenditures to address or defend such 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customer notifications for repair, replacement, refunds;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recall, detention or seizure of our products;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operating restrictions or partial suspension or total shutdown of production;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operating restrictions;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refusal to grant export approval for our products;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15" w:type="dxa"/>
            <w:tcBorders/>
            <w:vAlign w:val="center"/>
          </w:tcPr>
          <w:p>
            <w:pPr>
              <w:pStyle w:val="TableContents"/>
              <w:bidi w:val="0"/>
              <w:spacing w:before="0" w:after="283"/>
              <w:jc w:val="both"/>
              <w:rPr/>
            </w:pPr>
            <w:r>
              <w:rPr/>
              <w:t>criminal prosecution.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governs the following activities that we perform or that are performed on our behalf, to ensure that medical products distributed domestically or exported internationally are safe and effective for their intended uses: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product design, development and manufacture;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product safety, testing, labelling and storage;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record keeping procedures;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product marketing, sales and distribution;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post-marketing surveillance, complaint handling, medical device reporting, reporting of deaths, serious injuries or device malfunctions and repair or recall of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premarket clearance and approval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FDCA, medical devices are classified into one of three classes -- Class I, Class II or Class III -- depending on the degree of risk associated with each medical device and the extent of control needed to ensure safety and effectiveness. Davion is only engaged in Class I medical devices that are generally exempt from premarket notification (510(k)) requirements for product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devices are those for which safety and effectiveness can be assured by adherence to FDA’s general regulatory controls for medical devices, which include compliance with the applicable portions of the FDA’s Quality System Regulation (“QSR”), facility registration and product listing, reporting of adverse medical events, and appropriate, truthful and non-misleading labelling, advertising, and promotional materials (the “General Controls”). Some Class I devices also require premarket clearance by the FDA through the 510(k) premarket notification process, which none of Davion’s products are currently subject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Post-market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 permits a device to enter commercial distribution, numerous regulatory requirements apply. These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product listing and establishment registration, which helps facilitate FDA inspections and other regulatory 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Quality System Regulation, (“QSR”), which requires manufacturers, including third-party manufacturers, to follow stringent design, testing, control, documentation and other quality assurance procedures during all aspects of the manufacturing process;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labelling regulations and FDA prohibitions against the promotion of products for uncleared, unapproved or off label use or indication;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clearance of product modifications that could significantly affect safety or efficacy or that would constitute a major change in intended use of one of our cleared devices;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approval of product modifications that affect the safety or effectiveness of one of our approved devices;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post-approval restrictions or conditions, including post-approval study commitments;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post-market surveillance regulations, which apply when necessary to protect the public health or to provide additional safety and effectiveness data for the device;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FDA's recall authority, whereby it can ask, or under certain conditions order, device manufacturers to recall from the market a product that is in violation of governing laws and regulations;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regulations pertaining to voluntary recalls;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notices of corrections or removals.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our products manufactured and sold in the United States, our licensees will be registered with the FDA as medical device manufacturers. The FDA has broad post-market and regulatory enforcement powers. Our licensees are subject to announced and unannounced inspections by the FDA to determine our compliance with the QSR and other regulations and these inspections may include the manufacturing facilities of our suppliers. If the FDA finds any failure to comply, the agency can institute a wide variety of enforcement actions, ranging from a public warning letter to more severe sanctions such as fines, injunctions, and civil penalties; recall or seizure of products; the issuance of public notices or warnings; operating restrictions, partial suspension or total shutdown of production; and criminal prosecution.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of medical devices,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products could be subject to voluntary recall if we or the FDA determine, for any reason, that our products pose a risk of injury or are otherwise defective. Moreover, the FDA can order a mandatory recall if there is a reasonable probability that our device would cause serious adverse health consequences or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State and Federal Privacy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federal Health Insurance Portability and Accountability Act of 1996, as amended by the Health Information Technology for Economic and Clinical Health Act, or collectively, HIPAA, the U.S. Department of Health and Human Services (“HHS”), has issued regulations to protect the privacy and security of individually identifiable health information, also known as protected health information (“PHI”), held, used or disclosed by health care providers, such as our reference laboratory, and other covered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also regulates standardization of data content, codes and formats used in certain electronic health care transactions and standardization of identifiers for health plans and providers. HIPAA also governs patient access to laboratory test reports. Effective October 6, 2014, individuals (or their personal representatives, as applicable) have the right to access test reports directly from laboratories and to direct that copies of those reports be transmitted to persons or entities designated by the individual.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HIPAA’s Security Rule and certain provisions of the HIPAA Privacy Rule and Breach Notification Rule apply to business associates of covered entities (i.e., entities that provide services to covered entities that may require access and use of protected health information on behalf of covered entities), and business associates are subject to direct liability for violation of these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covered entity may be subject to criminal and civil penalties as a result of a business associate violating HIPAA, if the business associate is found to be an agent of the covered entity. Covered entities must report breaches of unsecured protected health information to affected individuals without unreasonable delay and notification must also be made to the U.S. Department of Health &amp; Human Services, Office for Civil Rights (OCR) and, in certain situations involving large breaches, to the media. The OCR enforces the HIPAA Rules and performs compliance audits and investigations. In addition to enforcement by OCR, HIPAA authorizes state attorneys general to bring civil actions seeking either injunction or damages in response to HIPAA violations that impact state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federal privacy regulations, there are a number of state laws governing the privacy, confidentiality and security of individually identifiable health information and other personal information that are applicable to our business. Where these state laws are stricter than the requirements imposed by HIPAA or impose different or additional requirements than HIPAA, we may be subject to additional restrictions and liability above and beyond HIPAA’s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numerous other laws, regulations and legislative and regulatory initiatives at the federal and state levels addressing privacy and security of personal information. We also remain subject to federal and state privacy-related laws that may be more restrictive or contain different requirements than the privacy regulations issued under HIPAA. These laws vary and could impose additional penalties. For example, the Federal Trade Commission, or FTC, uses its consumer protection authority to initiate enforcement actions against companies relating to their use and disclosure of personally identifiable information. Specifically, FTC has asserted authority and issued enforcement actions in response to actual or perceived unfair or deceptive practices by a Company in the handling of consumer information. The FTC has also pursued enforcement actions against companies for violations of its Health Breach Notification Rule and the Children’s Online Privacy Protection Act. Our use of personal information is also subject to our published privacy policies and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governing privacy and security of health information and other personal information are rapidly changing and new laws governing privacy and security may be adopted in the future as well. We can provide no assurance that we are or will remain in compliance with diverse privacy and security requirements in all of the jurisdictions in which we do business or process personal information, or in which our patients reside, or that we will be able to keep up with the cost of complying with new or additional requirements. Failure to comply with privacy and security requirements could result in damage to our reputation, adversely affect customer or investor confidence in us and reduce the demand for our services from existing and potential customers. In addition, we could face litigation, penalties and regulatory actions including civil or criminal penalties and significant costs for compliance with new or changing requirements, all of which could generate negative publicity and which could have a materially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also created federal criminal statutes that prohibit, among other actions,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these statutes or specific intent to violate them in order to have committed a violation.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violation of each of these statutes is a felony and may result in fines, imprisonment or exclusion from governmental payor programs. Many states have similar statutes that may carry significant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Employees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no full-time or part time employees. Management functions, including our executive officers, are contracted as service providers.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Insurance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insurance coverage is adequate to cover our business at this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a party to any legal or administrative proceedings and are not aware of any pending or threatened legal or administrative proceedings against us in any material respects. We may from time to time become a party to various legal or administrative proceedings arising in the ordinary course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f1_014"/>
      <w:bookmarkEnd w:id="39"/>
      <w:r>
        <w:rPr>
          <w:rFonts w:ascii="Times New Roman;Times;Serif" w:hAnsi="Times New Roman;Times;Serif"/>
          <w:b/>
          <w:i w:val="false"/>
          <w:caps w:val="false"/>
          <w:smallCaps w:val="false"/>
          <w:sz w:val="20"/>
        </w:rPr>
        <w:t>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Directors and Executive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prospectus.</w:t>
      </w:r>
    </w:p>
    <w:p>
      <w:pPr>
        <w:pStyle w:val="TextBody"/>
        <w:bidi w:val="0"/>
        <w:spacing w:before="0" w:after="0"/>
        <w:ind w:left="0" w:right="0" w:firstLine="360"/>
        <w:jc w:val="both"/>
        <w:rPr>
          <w:caps w:val="false"/>
          <w:smallCaps w:val="false"/>
        </w:rPr>
      </w:pPr>
      <w:r>
        <w:rPr>
          <w:caps w:val="false"/>
          <w:smallCaps w:val="false"/>
        </w:rPr>
        <w:t> </w:t>
      </w:r>
    </w:p>
    <w:tbl>
      <w:tblPr>
        <w:tblW w:w="6830" w:type="dxa"/>
        <w:jc w:val="left"/>
        <w:tblInd w:w="0" w:type="dxa"/>
        <w:tblLayout w:type="fixed"/>
        <w:tblCellMar>
          <w:top w:w="0" w:type="dxa"/>
          <w:left w:w="0" w:type="dxa"/>
          <w:bottom w:w="28" w:type="dxa"/>
          <w:right w:w="0" w:type="dxa"/>
        </w:tblCellMar>
      </w:tblPr>
      <w:tblGrid>
        <w:gridCol w:w="1385"/>
        <w:gridCol w:w="60"/>
        <w:gridCol w:w="350"/>
        <w:gridCol w:w="60"/>
        <w:gridCol w:w="2300"/>
        <w:gridCol w:w="60"/>
        <w:gridCol w:w="2615"/>
      </w:tblGrid>
      <w:tr>
        <w:trPr/>
        <w:tc>
          <w:tcPr>
            <w:tcW w:w="138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Director</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 appointed Ireland entity*</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Sir Eric Peacock</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Non-Executive Chairman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position w:val="7"/>
                <w:sz w:val="16"/>
                <w:sz w:val="20"/>
              </w:rPr>
              <w:t>th</w:t>
            </w:r>
            <w:r>
              <w:rPr>
                <w:rFonts w:ascii="Times New Roman;Times;Serif" w:hAnsi="Times New Roman;Times;Serif"/>
                <w:sz w:val="20"/>
              </w:rPr>
              <w:t xml:space="preserve"> January 2025</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Jack Kaye</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position w:val="7"/>
                <w:sz w:val="16"/>
                <w:sz w:val="20"/>
              </w:rPr>
              <w:t>th</w:t>
            </w:r>
            <w:r>
              <w:rPr>
                <w:rFonts w:ascii="Times New Roman;Times;Serif" w:hAnsi="Times New Roman;Times;Serif"/>
                <w:sz w:val="20"/>
              </w:rPr>
              <w:t xml:space="preserve"> September 2024</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Over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Commercial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September 2024</w:t>
            </w:r>
          </w:p>
        </w:tc>
      </w:tr>
      <w:tr>
        <w:trPr/>
        <w:tc>
          <w:tcPr>
            <w:tcW w:w="13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left"/>
              <w:rPr/>
            </w:pPr>
            <w:r>
              <w:rPr/>
              <w:t>Andreas Ttofi</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pPr>
            <w:r>
              <w:rPr/>
              <w:t>35</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left"/>
              <w:rPr/>
            </w:pPr>
            <w:r>
              <w:rPr/>
              <w:t>Chief Financial Officer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pPr>
            <w:r>
              <w:rPr/>
              <w:t>2</w:t>
            </w:r>
            <w:r>
              <w:rPr>
                <w:position w:val="8"/>
                <w:sz w:val="19"/>
              </w:rPr>
              <w:t>nd</w:t>
            </w:r>
            <w:r>
              <w:rPr/>
              <w:t xml:space="preserve"> December 2025</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Kevin Riches</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Non-Executive Director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position w:val="7"/>
                <w:sz w:val="16"/>
                <w:sz w:val="20"/>
              </w:rPr>
              <w:t>th</w:t>
            </w:r>
            <w:r>
              <w:rPr>
                <w:rFonts w:ascii="Times New Roman;Times;Serif" w:hAnsi="Times New Roman;Times;Serif"/>
                <w:sz w:val="20"/>
              </w:rPr>
              <w:t xml:space="preserve"> January 2025</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Susan M King</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Non-Executive Director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position w:val="7"/>
                <w:sz w:val="16"/>
                <w:sz w:val="20"/>
              </w:rPr>
              <w:t>th</w:t>
            </w:r>
            <w:r>
              <w:rPr>
                <w:rFonts w:ascii="Times New Roman;Times;Serif" w:hAnsi="Times New Roman;Times;Serif"/>
                <w:sz w:val="20"/>
              </w:rPr>
              <w:t xml:space="preserve"> January 2025</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F Sluyters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Non-Executive Director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January 2025</w:t>
            </w:r>
          </w:p>
        </w:tc>
      </w:tr>
      <w:tr>
        <w:trPr/>
        <w:tc>
          <w:tcPr>
            <w:tcW w:w="13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left"/>
              <w:rPr/>
            </w:pPr>
            <w:r>
              <w:rPr/>
              <w:t>Jan Dulman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center"/>
              <w:rPr/>
            </w:pPr>
            <w:r>
              <w:rPr/>
              <w:t>52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00" w:type="dxa"/>
            <w:tcBorders/>
            <w:shd w:fill="EEEEEE" w:val="clear"/>
            <w:tcMar>
              <w:bottom w:w="0" w:type="dxa"/>
            </w:tcMar>
            <w:vAlign w:val="center"/>
          </w:tcPr>
          <w:p>
            <w:pPr>
              <w:pStyle w:val="TableContents"/>
              <w:bidi w:val="0"/>
              <w:spacing w:before="0" w:after="283"/>
              <w:jc w:val="left"/>
              <w:rPr/>
            </w:pPr>
            <w:r>
              <w:rPr/>
              <w:t>Non-Executive Director</w:t>
            </w:r>
          </w:p>
        </w:tc>
        <w:tc>
          <w:tcPr>
            <w:tcW w:w="60" w:type="dxa"/>
            <w:tcBorders/>
            <w:shd w:fill="EEEEEE" w:val="clear"/>
            <w:tcMar>
              <w:bottom w:w="0" w:type="dxa"/>
            </w:tcMar>
            <w:vAlign w:val="center"/>
          </w:tcPr>
          <w:p>
            <w:pPr>
              <w:pStyle w:val="TableContents"/>
              <w:bidi w:val="0"/>
              <w:spacing w:before="0" w:after="283"/>
              <w:jc w:val="left"/>
              <w:rPr/>
            </w:pPr>
            <w:r>
              <w:rPr/>
              <w:t> </w:t>
            </w:r>
          </w:p>
        </w:tc>
        <w:tc>
          <w:tcPr>
            <w:tcW w:w="2615" w:type="dxa"/>
            <w:tcBorders/>
            <w:shd w:fill="EEEEEE" w:val="clear"/>
            <w:tcMar>
              <w:bottom w:w="0" w:type="dxa"/>
            </w:tcMar>
            <w:vAlign w:val="center"/>
          </w:tcPr>
          <w:p>
            <w:pPr>
              <w:pStyle w:val="TableContents"/>
              <w:bidi w:val="0"/>
              <w:spacing w:before="0" w:after="283"/>
              <w:jc w:val="left"/>
              <w:rPr/>
            </w:pPr>
            <w:r>
              <w:rPr/>
              <w:t>2</w:t>
            </w:r>
            <w:r>
              <w:rPr>
                <w:position w:val="8"/>
                <w:sz w:val="19"/>
              </w:rPr>
              <w:t>nd</w:t>
            </w:r>
            <w:r>
              <w:rPr/>
              <w:t xml:space="preserve"> December 2025</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directors were previously at various times, directors of Davion Healthcare Plc registered in Cyprus, prior to the Company being re-domiciled in Ireland. The above table refers to appointments to the board of the Irish registered Company Davion Healthcare Plc which was first registered on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September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Jack Kaye –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over 45 years business experience across the telecom, technology and healthcare sectors, Mr. Kaye established one of the first mobile phone network resellers in the early eighties which was sold on to Hutchison Whampoa and formed part of what became the Orange mobile phone network in the UK. Mr. Kaye is also on the boards of a number of private SME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a Serial Entrepreneur and has a history of developing a number of successful businesses, many from a start-up position, and has held Executive positions including that of CEO, on the boards of a number of Private and Publicly Quoted Companies in both Europe and North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is engaged as CEO of the Company under a service contract dated January 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this contract, he will after Admission be entitled to directors’ fees of €1,800,000 per annum. His contract can be terminated on 12 months’ notice from either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Sir Eric Peacock – Chairman (Non-Executive)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Sir Eric Peacock is the Chairman of IPro Sport Holdings Ltd (hydration drinks), Buckley Jewelry Ltd, Stevenage Packaging Ltd, Kingfisher Beer Europe Ltd and is the Senior Non-Executive Director of Bango Plc.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was formerly a Non-Executive Director at the government business United Kingdom Export Finance and has previously sat on a number of other government boards namely United Kingdom Trade and Investment, Foreign and Commonwealth Office and the Department for Innovation and Skills.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a wide ranging experience of start up’s, turnarounds, financing, acquiring, disposal and floatation with a significant international background having run businesses in Australia, New Zealand, South Africa, France and Ireland. Sir Eric was knighted in 2003 for his services to International Trade.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also Chairman of the charity The Big Cat Sanctuary and the charities Uniqueness and The AB Trust both of which focus on disadvantaged children and young adults.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Over – Chief Commercial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has over 30 years of extensive international leadership serving at the C-Level for a variety of British and American companies. He has helped them transform and align their strategies, marketing, products, people and systems to accelerate breakthrough growth. He has held leadership positions as CEO, COO and CMO.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solid track record of success leading financial growth, digital transformations, operational change, building start-ups within global businesses, and rapidly developing businesses. David has been actively involved in development and funding of a number of public and private companies in the UK and USA.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executive leadership across major business areas: Operations, Strategy, M&amp;A, Marketing, Sales, Partnerships &amp; Alliances across a variety of B2B and B2C sectors, including digital marketing, magazine publishing, fintech and environmental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Andreas Ttofi – Chief Financial Officer</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Andreas Ttofi is a fully qualified ACCA Member and accomplished accountant with more than a decade of professional experience spanning audit, financial reporting, tax compliance, and operational finance. Since 2012, he has delivered high-level accounting and advisory services to a broad portfolio of corporate and private clients across multiple industries, earning a reputation for technical precision, regulatory integrity, and dependable execution.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Andreas has extensive expertise in statutory accounts preparation, audit oversight, Capital Gains Tax analysis, and self-assessment compliance. His background also includes significant responsibility for payroll administration, staff remuneration, tax submissions, and the management and safeguarding of corporate funds. His approach is characterized by meticulous attention to detail, strong governance discipline, and adherence to the highest standards of professional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committed to continuous professional development and maintains up-to-date proficiency in evolving accounting standards, financial regulations, and best-practice corporate reporting frameworks.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Chief Financial Officer, Andreas brings a strong blend of analytical capability, operational leadership, and regulatory compliance expertise, ensuring robust financial stewardship and contributing to the long-term growth, transparency, and stability of the organization.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Riches – Non-Executive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has a background in starting, building and selling companies, in sectors ranging from technology re-manufacture and sales and mobile communication. He has a specialty in supporting and growing established businesses.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worked within management teams to help define and develop strategy and to bring new clients as a part of the growth and diversification strategy. Current businesses outside of Davion include The Big Issue Group, The Big Exchange and Adalta International.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Susan M King – Non-Executive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King is a Board Director, private investor, senior executive and advocate. She is a financial services executive with extensive experience in global asset management and investment banking.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King serves on several corporate and non-profit boards. She is an active investor in early-stage companies directly through her membership in Golden Seeds.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King earned a B.A. in Economics cum laude from Claremont McKenna College. She is based in New York.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Julian F. Sluyters – Non-Executive Director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F. Sluyters has been in the financial services industry his entire career. He spent the first 10 years of his career in public accounting, where his primary industry focus was banks and asset management firms, and the mutual funds which they sponsored. For the past 30 years, Mr. Sluyters has served in various capacities working for several asset management firms. His roles have varied. These include the CEO of a global mutual fund firm, CEO of a major European fund services Company, and several asset management COO roles based in the United States. In connection with these roles, he has also served as the Chief Financial Officer of a large mutual fund complex, and the CEO and President for several fund complexes, both in the United States and Europe. He has a BS degree in accounting and finance from Lehigh University, Pennsylvania, USA. Mr. Sluyters is a certified public accountant (inactive) in the State of New York, USA.</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brings an unparalleled amount of Board experience, serving as the CEO for over 20 different mutual funds boards (in the US and Europe), as well as serving as an interested Trustee for over five different US and EU boards. Mr. Sluyters has been dealing with corporate boards for practically his entire professional career, which started in 1982. He also qualifies as an audit committee financial expert. Mr. Sluyters has a wealth of private equity and alternative asset class experience and currently serves on the advisory Board of EQX Biome, a New York-based biodiversity impact Company focused on the mission of mobilizing financial markets towards protecting the world’s remaining biodiversity. He is based in the United States.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 Dulman – Non-Executive Director</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 Dulman is a seasoned Certified Public Accountant (CPA) and Chief Financial Officer (CFO) with a rich professional journey marked by dynamic growth and impactful leadership.</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Kicking off his career in the financial hub of Stamford, CT, Jan embarked on his professional journey at a small public accounting firm. It was here that he honed his expertise, laying down the foundational skills that would pave the way for his future success. He joined a public gold and mining exploration Company as the Controller in 2005, became the CFO in 2007 and serves an outsourced CFO role on a limited basis to this day.</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2010, Jan took a bold step forward by founding a new CPA partnership that reflected his diverse skill set and comprehensive background in finance. Building on this momentum, Jan orchestrated a strategic merger in 2015, integrating his firm into a prominent national practice. In his role as a Partner and leader within this organization, Jan spearheaded the development and support of the firm's Attest Services division. Jan recognized the potential for expansion into specialized areas of financial services, and under his guidance, later developed and managed national SEC and Broker Dealer practice.</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his career, Jan has been intimately involved in numerous high-stakes projects, including the management of registration statements. Notably, he played a pivotal role in overseeing one of the largest Regulation A filings in history, demonstrating his ability to navigate complex regulatory landscapes with finesse and precision.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no Director has in the 5 years prior to the date of this Admission Document: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20"/>
              </w:rPr>
            </w:pPr>
            <w:r>
              <w:rPr>
                <w:sz w:val="20"/>
              </w:rPr>
              <w:t>1.</w:t>
            </w:r>
          </w:p>
        </w:tc>
        <w:tc>
          <w:tcPr>
            <w:tcW w:w="9991" w:type="dxa"/>
            <w:tcBorders/>
            <w:vAlign w:val="center"/>
          </w:tcPr>
          <w:p>
            <w:pPr>
              <w:pStyle w:val="TableContents"/>
              <w:bidi w:val="0"/>
              <w:spacing w:before="0" w:after="283"/>
              <w:jc w:val="both"/>
              <w:rPr>
                <w:sz w:val="20"/>
              </w:rPr>
            </w:pPr>
            <w:r>
              <w:rPr>
                <w:sz w:val="20"/>
              </w:rPr>
              <w:t>had any convictions in relation to fraudulent offences;</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20"/>
              </w:rPr>
            </w:pPr>
            <w:r>
              <w:rPr>
                <w:sz w:val="20"/>
              </w:rPr>
              <w:t>2.</w:t>
            </w:r>
          </w:p>
        </w:tc>
        <w:tc>
          <w:tcPr>
            <w:tcW w:w="9991" w:type="dxa"/>
            <w:tcBorders/>
            <w:vAlign w:val="center"/>
          </w:tcPr>
          <w:p>
            <w:pPr>
              <w:pStyle w:val="TableContents"/>
              <w:bidi w:val="0"/>
              <w:spacing w:before="0" w:after="283"/>
              <w:jc w:val="both"/>
              <w:rPr>
                <w:sz w:val="20"/>
              </w:rPr>
            </w:pPr>
            <w:r>
              <w:rPr>
                <w:sz w:val="20"/>
              </w:rPr>
              <w:t>been a director or a member of the administrative, management or supervisory body of any Company which has been placed in receivership or liquidation whilst he was acting in that capacity for that Company;</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20"/>
              </w:rPr>
            </w:pPr>
            <w:r>
              <w:rPr>
                <w:sz w:val="20"/>
              </w:rPr>
              <w:t>3.</w:t>
            </w:r>
          </w:p>
        </w:tc>
        <w:tc>
          <w:tcPr>
            <w:tcW w:w="9991" w:type="dxa"/>
            <w:tcBorders/>
            <w:vAlign w:val="center"/>
          </w:tcPr>
          <w:p>
            <w:pPr>
              <w:pStyle w:val="TableContents"/>
              <w:bidi w:val="0"/>
              <w:spacing w:before="0" w:after="283"/>
              <w:jc w:val="both"/>
              <w:rPr>
                <w:sz w:val="20"/>
              </w:rPr>
            </w:pPr>
            <w:r>
              <w:rPr>
                <w:sz w:val="20"/>
              </w:rPr>
              <w:t>been a partner in or a member of the administrative, management or supervisory body of any partnership placed into liquidation where such director was a partner or a member of the administrative, management or supervisory body at the time of or within the 12 months preceding such event;</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20"/>
              </w:rPr>
            </w:pPr>
            <w:r>
              <w:rPr>
                <w:sz w:val="20"/>
              </w:rPr>
              <w:t>4.</w:t>
            </w:r>
          </w:p>
        </w:tc>
        <w:tc>
          <w:tcPr>
            <w:tcW w:w="9991" w:type="dxa"/>
            <w:tcBorders/>
            <w:vAlign w:val="center"/>
          </w:tcPr>
          <w:p>
            <w:pPr>
              <w:pStyle w:val="TableContents"/>
              <w:bidi w:val="0"/>
              <w:spacing w:before="0" w:after="283"/>
              <w:jc w:val="both"/>
              <w:rPr>
                <w:sz w:val="20"/>
              </w:rPr>
            </w:pPr>
            <w:r>
              <w:rPr>
                <w:sz w:val="20"/>
              </w:rPr>
              <w:t>been the subject of any official public incrimination and/or sanctions by statutory or regulatory authorities (including designated professional bodies) or been disqualified by a court from acting as a member of the administrative, management or supervisory body of any entity or from acting in the management or conduct of the affairs of any entity.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eight directors, the majority of which will be independent, upon the SEC’s declaration of the effectiveness of our registration statement on Form F-1. The board consists of three executive directors, Jack Kaye as CEO, Andreas Ttofi as Chief Financial Officer, and David Over as Chief Commercial Officer, with five independent non-executive directors, Sir Eric Peacock, Kevin Riches, Susan M King, Julian Sluyters and Jan Dulman. A director is not required to hold any shares in our Company by way of qualification. A director may vote with respect to any contract, proposed contract or arrangement in which he is materially interested provided (a) such director, if his interest in such contract or arrangement is material,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Committees of the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three committees under the board of directors immediately upon the effectiveness of our registration statement on Form F-1: an audit committee, a compensation committee and a nominating and corporate governance committee. We will adopt a charter for each of the three committees. Each committee’s functions are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(comprising of Jan Dulman, Sir Eric Peacock, Susan M King and Julian F Sluyters) will oversee our accounting and financial reporting processes and the audits of the financial statements of our Company. The audit committee will be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appointing the independent auditors and pre-approving all auditing and non-auditing services permitted to be performed by the independent auditors;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with the independent auditors any audit problems or difficulties and management’s response;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discussing the annual Reviewed financial statements with management and the independent auditors;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the adequacy and effectiveness of our accounting and internal control policies and procedures and any steps taken to monitor and control major financial risk exposures;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and approving all proposed related party transactions;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meeting separately and periodically with management and the independent auditors;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monitoring compliance with our code of business conduct and ethics, including reviewing the adequacy and effectiveness of our procedures to ensure proper compliance.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(comprising Julian Sluyters, Kevin Riches and Sir Eric Peacock)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sz w:val="20"/>
              </w:rPr>
              <w:t>reviewing and approving, or recommending to the board for its approval, compensation for our chief executive officer and other executive officers;</w:t>
            </w:r>
            <w:r>
              <w:rPr/>
              <w:t xml:space="preserve">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and recommending to the board for determination with respect to the compensation of our non-employee directors;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periodically and approving any incentive compensation or equity plans, programs or similar arrangements;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selecting compensation consultant, legal counsel or other adviser only after taking into consideration all factors relevant to that person’s independence from management.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comprising of Sir Eric Peacock, Susan M King and Kevin Riches, will assist the board of directors in selecting individuals qualified to become our directors and in determining the composition of the board and its committees. The nominating and corporate governance committee will be responsible for, among other things: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selecting and recommending to the board nominees for election by the shareholders or appointment by the board;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reviewing annually with the board the current composition of the board with regards to characteristics such as independence, knowledge, skills, experience and diversity;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making recommendations on the frequency and structure of board meetings and monitoring the functioning of the committees of the board;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sz w:val="20"/>
              </w:rPr>
              <w:t>advising the board periodically regarding significant developments in the law and practice of corporate governance as well as our compliance with applicable laws and regulations, and making recommendations to the board on all matters of corporate governance and on any remedial action to be taken.</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Duties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Ireland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the care, diligence and skills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convening shareholders’ annual and extraordinary general meetings and reporting its work to shareholders at such meetings;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declaring dividends and distributions;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appointing officers and determining the term of office of the officers;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exercising the borrowing powers of our Company and mortgaging the property of our Company;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approving the transfer of Ordinary Shares in our Company, including the registration of such shares in our share register.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Terms of Directors and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elected by and serve at the discretion of the board of directors. Our directors are not subject to a term of office and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or (ii) is found by our Company to be or becomes of unsound mind.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Agreements and Indemnification Agreements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executive agreements with each of our three executive officer, Jack Kaye, Andreas Ttofi, and David Over.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of termination by us, we will provide severance payments to the executive officer as expressly required by applicable law of the jurisdiction where the executive officer is based.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2025, the Chief Executive Officer, Jack Kaye and the Chief Commercial Officer, David Paul Alexander (“the Executive Directors), entered into service agreements with the Company in exchange for annual renumeration of €1,800,000 and €1,200,000, respectively including other executive level benefits. In March of 2025, the Executive Directors agreed to freeze their service contracts without any accrual being credited, until such time the Company is listed on a public exchange. In January 2026, these service agreements were cancelled with no fees owing through December 31, 2025. New service agreements will be put in place once the Company is listed on Nasdaq. The parties have agreed that new Service Agreements shall be established immediately prior to, or within fourteen days following, the listing of the Company’s securities on a regulated stock exchange. Such new agreement shall: reflect the current operational and financial position of the Company as a pre-revenue entity; and provide for compensation, benefits, and incentive arrangements commensurate with those typically applicable to executives of comparable small-capitalization publicly listed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Andreas Ttofi, was appointed as the Company’s Chief Financial Officer and an Executive Director on the Board. Mr. Ttofi’s service agreement provides for a monthly salary of €10,000 plus other benefits, which will begin to accrue upon the Company being listed on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2025 service contracts for the three officers are filed as Exhibit (number 10.4, 10.5 and 10.9)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Jack Kaye — Chief Executive Officer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Kaye is party to a rolling service agreement with the Company that may be terminated by either party upon 12 months’ written notice. Mr. Kaye is entitled to a base salary of €150,000 per calendar month and reimbursement of reasonable expenses incurred in the performance of his duties. The agreement does not currently provide for any bonus, incentive compensation, or severance benefits beyond continued salary and benefits during the applicable notice period. Such service agreement was cancelled on January 1, 2026, and director has agreed to waive accrual of fees until such time the Company is listed and has raised $5 million 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Over — Chief Commercial Officer</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Over is party to a rolling service agreement with the Company that may be terminated by either party upon three months’ written notice. Mr. Over is entitled to a base salary of €100,000 per calendar month and reimbursement of reasonable expenses incurred in the performance of his duties. The agreement does not currently provide for any bonus, incentive compensation, or severance benefits beyond continued salary and benefits during the applicable notice period. Such service agreement was cancelled on January 1, 2026, and director has agreed to waive accrual of fees until such time the Company is listed and has raised $5 million 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Andreas Ttofi — Chief Financial Officer</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Ttofi is party to a rolling service agreement with the Company that commences on the first day of listing, and which may be terminated by either party upon three months’ written notice. Mr. Ttofi is entitled to a base salary of €10,000 per calendar month and reimbursement of reasonable expenses incurred in the performance of his duties. The agreement does not currently provide for any bonus, incentive compensation, or severance benefits beyond continued salary and benefits during the applicable notice period. Mr. Ttofi has agreed to waive accrual of his fees in 2026 until such time the Company is listed and has raised $5 million 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five non-executive Directors whose remuneration will commence on listing of the Company’s Ordinary Shares and will receive a combined annual income of approximately €700,000. Renumeration in 2025 was waived and accrual will commence when the Company is listed in 2026 and raised $5 million 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monies have been set aside or accrued to provide pension, retirement or other similar benefits to any of our executive officers and non-executive directors. The Company has no full time or part 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an equity incentive plan for the executive officers in January 2025, which was subsequently terminated during the year. The board of directors compensation committee intends to recommend a new equity incentive plan for the executive officers and independent directors once our listing is completed. Any stock issuance under such plan will dilute existing ordinary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Executive Officers for the Fiscal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no cash compensation was paid to the Company’s executive officers or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existing arrangements, executive officers and directors were entitled to receive salaries during the year. However, all such salaries were voluntarily waived in full in order to preserve the Company’s working capital during its pre-listing phase.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 </w:t>
      </w:r>
      <w:r>
        <w:rPr>
          <w:rFonts w:ascii="Times New Roman;Times;Serif" w:hAnsi="Times New Roman;Times;Serif"/>
          <w:b w:val="false"/>
          <w:i w:val="false"/>
          <w:caps w:val="false"/>
          <w:smallCaps w:val="false"/>
          <w:sz w:val="20"/>
        </w:rPr>
        <w:t>amounts in respect of such salaries were accrued in the Company’s financial statements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 compensation in the form of shares, options, bonuses, or other equity or non-cash incentives was granted, awarded, deferred, or payable to any executive officer or director during the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maintain formal bonus, pension, or equity compensation plans for its executive officers or directors, although it may adopt such arrangements in the future following the commencement of trading of its Ordinary Shares on the Nasdaq Global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1_015"/>
      <w:bookmarkEnd w:id="40"/>
      <w:r>
        <w:rPr>
          <w:rFonts w:ascii="Times New Roman;Times;Serif" w:hAnsi="Times New Roman;Times;Serif"/>
          <w:b/>
          <w:i w:val="false"/>
          <w:caps w:val="false"/>
          <w:smallCaps w:val="false"/>
          <w:sz w:val="20"/>
        </w:rPr>
        <w:t>PRINCIPAL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noted, the following table sets forth information with respect to the beneficial ownership of our Ordinary Shares as of the date of this prospectus 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with 5% or more of the issued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CEO Jack Kaye holds 10,268,948 Ordinary Shares, which is 41.07% of the issued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result in a change of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AFFILIATE SHAREHOLDERS</w:t>
      </w:r>
    </w:p>
    <w:p>
      <w:pPr>
        <w:pStyle w:val="TextBody"/>
        <w:bidi w:val="0"/>
        <w:spacing w:before="0" w:after="0"/>
        <w:ind w:left="0" w:right="0" w:hanging="0"/>
        <w:jc w:val="both"/>
        <w:rPr>
          <w:caps w:val="false"/>
          <w:smallCaps w:val="false"/>
        </w:rPr>
      </w:pPr>
      <w:r>
        <w:rPr>
          <w:caps w:val="false"/>
          <w:smallCaps w:val="false"/>
        </w:rPr>
        <w:t> </w:t>
      </w:r>
    </w:p>
    <w:tbl>
      <w:tblPr>
        <w:tblW w:w="4079" w:type="dxa"/>
        <w:jc w:val="left"/>
        <w:tblInd w:w="0" w:type="dxa"/>
        <w:tblLayout w:type="fixed"/>
        <w:tblCellMar>
          <w:top w:w="0" w:type="dxa"/>
          <w:left w:w="0" w:type="dxa"/>
          <w:bottom w:w="28" w:type="dxa"/>
          <w:right w:w="0" w:type="dxa"/>
        </w:tblCellMar>
      </w:tblPr>
      <w:tblGrid>
        <w:gridCol w:w="1385"/>
        <w:gridCol w:w="60"/>
        <w:gridCol w:w="61"/>
        <w:gridCol w:w="978"/>
        <w:gridCol w:w="60"/>
        <w:gridCol w:w="60"/>
        <w:gridCol w:w="154"/>
        <w:gridCol w:w="1246"/>
        <w:gridCol w:w="75"/>
      </w:tblGrid>
      <w:tr>
        <w:trPr/>
        <w:tc>
          <w:tcPr>
            <w:tcW w:w="1385" w:type="dxa"/>
            <w:tcBorders>
              <w:bottom w:val="single" w:sz="8" w:space="0" w:color="000000"/>
            </w:tcBorders>
            <w:vAlign w:val="center"/>
          </w:tcPr>
          <w:p>
            <w:pPr>
              <w:pStyle w:val="TableContents"/>
              <w:bidi w:val="0"/>
              <w:spacing w:before="0" w:after="283"/>
              <w:jc w:val="left"/>
              <w:rPr>
                <w:b/>
                <w:sz w:val="20"/>
              </w:rPr>
            </w:pPr>
            <w:r>
              <w:rPr>
                <w:b/>
                <w:sz w:val="20"/>
              </w:rPr>
              <w:t>Directors</w:t>
            </w:r>
          </w:p>
        </w:tc>
        <w:tc>
          <w:tcPr>
            <w:tcW w:w="60" w:type="dxa"/>
            <w:tcBorders/>
            <w:tcMar>
              <w:bottom w:w="0" w:type="dxa"/>
            </w:tcMar>
            <w:vAlign w:val="center"/>
          </w:tcPr>
          <w:p>
            <w:pPr>
              <w:pStyle w:val="TableContents"/>
              <w:bidi w:val="0"/>
              <w:spacing w:before="0" w:after="283"/>
              <w:jc w:val="center"/>
              <w:rPr/>
            </w:pPr>
            <w:r>
              <w:rPr/>
              <w:t> </w:t>
            </w:r>
          </w:p>
        </w:tc>
        <w:tc>
          <w:tcPr>
            <w:tcW w:w="1039" w:type="dxa"/>
            <w:gridSpan w:val="2"/>
            <w:tcBorders>
              <w:bottom w:val="single" w:sz="8" w:space="0" w:color="000000"/>
            </w:tcBorders>
            <w:vAlign w:val="center"/>
          </w:tcPr>
          <w:p>
            <w:pPr>
              <w:pStyle w:val="TableContents"/>
              <w:bidi w:val="0"/>
              <w:spacing w:before="0" w:after="283"/>
              <w:jc w:val="center"/>
              <w:rPr>
                <w:b/>
                <w:sz w:val="20"/>
              </w:rPr>
            </w:pPr>
            <w:r>
              <w:rPr>
                <w:b/>
                <w:sz w:val="20"/>
              </w:rPr>
              <w:br/>
              <w:t>Shares Held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0" w:type="dxa"/>
            <w:gridSpan w:val="2"/>
            <w:tcBorders>
              <w:bottom w:val="single" w:sz="8" w:space="0" w:color="000000"/>
            </w:tcBorders>
            <w:vAlign w:val="center"/>
          </w:tcPr>
          <w:p>
            <w:pPr>
              <w:pStyle w:val="TableContents"/>
              <w:bidi w:val="0"/>
              <w:spacing w:before="0" w:after="283"/>
              <w:jc w:val="center"/>
              <w:rPr>
                <w:b/>
                <w:sz w:val="20"/>
              </w:rPr>
            </w:pPr>
            <w:r>
              <w:rPr>
                <w:b/>
                <w:sz w:val="20"/>
              </w:rPr>
              <w:t>% Shareholding</w:t>
            </w:r>
          </w:p>
        </w:tc>
        <w:tc>
          <w:tcPr>
            <w:tcW w:w="75" w:type="dxa"/>
            <w:tcBorders/>
            <w:tcMar>
              <w:bottom w:w="0" w:type="dxa"/>
            </w:tcMar>
            <w:vAlign w:val="center"/>
          </w:tcPr>
          <w:p>
            <w:pPr>
              <w:pStyle w:val="TableContents"/>
              <w:bidi w:val="0"/>
              <w:spacing w:before="0" w:after="283"/>
              <w:jc w:val="center"/>
              <w:rPr/>
            </w:pPr>
            <w:r>
              <w:rPr/>
              <w:t> </w:t>
            </w:r>
          </w:p>
        </w:tc>
      </w:tr>
      <w:tr>
        <w:trPr/>
        <w:tc>
          <w:tcPr>
            <w:tcW w:w="13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03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center"/>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Sir Eric Peacock</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10,000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0.04%</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Jack Kaye</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10,268,948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41.07%</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David Over</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1,217,000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4.86%</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Kevin Riches</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0.02%</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Susan King</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0.02%</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sz w:val="20"/>
              </w:rPr>
            </w:pPr>
            <w:r>
              <w:rPr>
                <w:sz w:val="20"/>
              </w:rPr>
              <w:t>Julian F Sluyters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sz w:val="20"/>
              </w:rPr>
            </w:pPr>
            <w:r>
              <w:rPr>
                <w:sz w:val="20"/>
              </w:rPr>
              <w:t>5,000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sz w:val="20"/>
              </w:rPr>
            </w:pPr>
            <w:r>
              <w:rPr>
                <w:sz w:val="20"/>
              </w:rPr>
              <w:t>0.02%</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pPr>
            <w:r>
              <w:rPr/>
              <w:t>Jan Dulman</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pPr>
            <w:r>
              <w:rPr/>
              <w:t>10,000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pPr>
            <w:r>
              <w:rPr/>
              <w:t>0.04%</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2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EEEEEE" w:val="clear"/>
            <w:tcMar>
              <w:bottom w:w="0" w:type="dxa"/>
            </w:tcMar>
            <w:vAlign w:val="center"/>
          </w:tcPr>
          <w:p>
            <w:pPr>
              <w:pStyle w:val="TableContents"/>
              <w:bidi w:val="0"/>
              <w:spacing w:before="0" w:after="283"/>
              <w:jc w:val="both"/>
              <w:rPr/>
            </w:pPr>
            <w:r>
              <w:rPr/>
              <w:t>Andreas Ttofi</w:t>
            </w:r>
          </w:p>
        </w:tc>
        <w:tc>
          <w:tcPr>
            <w:tcW w:w="60" w:type="dxa"/>
            <w:tcBorders/>
            <w:shd w:fill="EEEEEE" w:val="clear"/>
            <w:tcMar>
              <w:bottom w:w="0" w:type="dxa"/>
            </w:tcMar>
            <w:vAlign w:val="center"/>
          </w:tcPr>
          <w:p>
            <w:pPr>
              <w:pStyle w:val="TableContents"/>
              <w:bidi w:val="0"/>
              <w:spacing w:before="0" w:after="283"/>
              <w:jc w:val="left"/>
              <w:rPr/>
            </w:pPr>
            <w:r>
              <w:rPr/>
              <w:t> </w:t>
            </w:r>
          </w:p>
        </w:tc>
        <w:tc>
          <w:tcPr>
            <w:tcW w:w="61" w:type="dxa"/>
            <w:tcBorders/>
            <w:shd w:fill="EEEEEE" w:val="clear"/>
            <w:tcMar>
              <w:bottom w:w="0" w:type="dxa"/>
            </w:tcMar>
            <w:vAlign w:val="center"/>
          </w:tcPr>
          <w:p>
            <w:pPr>
              <w:pStyle w:val="TableContents"/>
              <w:bidi w:val="0"/>
              <w:spacing w:before="0" w:after="283"/>
              <w:jc w:val="left"/>
              <w:rPr/>
            </w:pPr>
            <w:r>
              <w:rPr/>
              <w:t> </w:t>
            </w:r>
          </w:p>
        </w:tc>
        <w:tc>
          <w:tcPr>
            <w:tcW w:w="978" w:type="dxa"/>
            <w:tcBorders/>
            <w:shd w:fill="EEEEEE" w:val="clear"/>
            <w:tcMar>
              <w:bottom w:w="0" w:type="dxa"/>
            </w:tcMar>
            <w:vAlign w:val="center"/>
          </w:tcPr>
          <w:p>
            <w:pPr>
              <w:pStyle w:val="TableContents"/>
              <w:bidi w:val="0"/>
              <w:spacing w:before="0" w:after="283"/>
              <w:jc w:val="right"/>
              <w:rPr/>
            </w:pPr>
            <w:r>
              <w:rPr/>
              <w:t>Nil</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54" w:type="dxa"/>
            <w:tcBorders/>
            <w:shd w:fill="EEEEEE" w:val="clear"/>
            <w:tcMar>
              <w:bottom w:w="0" w:type="dxa"/>
            </w:tcMar>
            <w:vAlign w:val="center"/>
          </w:tcPr>
          <w:p>
            <w:pPr>
              <w:pStyle w:val="TableContents"/>
              <w:bidi w:val="0"/>
              <w:spacing w:before="0" w:after="283"/>
              <w:jc w:val="left"/>
              <w:rPr/>
            </w:pPr>
            <w:r>
              <w:rPr/>
              <w:t> </w:t>
            </w:r>
          </w:p>
        </w:tc>
        <w:tc>
          <w:tcPr>
            <w:tcW w:w="1246" w:type="dxa"/>
            <w:tcBorders/>
            <w:shd w:fill="EEEEEE" w:val="clear"/>
            <w:tcMar>
              <w:bottom w:w="0" w:type="dxa"/>
            </w:tcMar>
            <w:vAlign w:val="center"/>
          </w:tcPr>
          <w:p>
            <w:pPr>
              <w:pStyle w:val="TableContents"/>
              <w:bidi w:val="0"/>
              <w:spacing w:before="0" w:after="283"/>
              <w:jc w:val="right"/>
              <w:rPr/>
            </w:pPr>
            <w:r>
              <w:rPr/>
              <w:t> </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1_016"/>
      <w:bookmarkEnd w:id="41"/>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Malbrite Limited, Rallinson Corporation and Davion Healthcare Corporation, all private companies owned by Jack Kaye, our CEO, have provided ongoing financial support for the Company since its inception through Related party advances. The Company continues to rely on the support of our CEO until such times as revenue from planned direct manufacturing/distribution and regional third-party manufacturers/distributors agreements and any sales royalties commence in the second half of 2026 or until the Company conducts an equity raise, whichever is the sooner. These advances are non-interest-bearing, unsecured, and repayable only upon completion of a future capital raise. Advances paid directly to third parties were €0.9 million and €0.1 million in 2025 and 2024, respectively, with amounts owed to Mr. Kaye of €0.9 million and €0.0 million as of December 31, 2025 and 2024, respectively. Because Mr. Kaye is both the CEO of Davion Healthcare Plc and the controlling owner of these private companies, these arrangements constitute related-party transactions and may give rise to potential conflicts of interest. These transactions have been reviewed and approved by the Company’s board of directors.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exchanged 12,258,458 shares at par (€0.01) in connection with intellectual property transfer at carry value. There are no future payment obligations related to the intellectual property rights. The noncash transaction was completed with shares being distributed to all shareholders of Davion Healthcare Ltd (“UK Company”) on a pari pasu basis to their percentage shareholding in the UK Company at the time of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June 30, 2024, advances to the Company by Jack Kaye (through Malbrite Ltd) amounting to €4.6 million and €1.0 million in fees due David Paul Alexander Over, a director of Davion Healthcare Plc were converted into 598,246 shares at a conversion rate equivalent to one ordinary share for every $10 (Euro conversion equivalent to) owed.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incurred €NIL and €0.6 million respectively, with regards to management fees by Malbrite Limited and Kurdam Inc., companies controlled by Jack Kaye, a director of Davion Healthcare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2024, the Company incurred €NIL and €0.4 million, respectively, with regards to director fees by David Paul Alexander Over, a director of Davion Healthcare Plc. The balance payable to David Paul Alexander Over was paid in full with share issuances.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2026, the Company acquired 100% of the outstanding equity interests of Davion Healthcare Corporation, an entity wholly owned by the Company’s Chief Executive Officer, for nominal consideration of $1. Management assessed the acquired set of assets and liabilities against the definition of a business in IFRS 3, Business Combinations, and concluded that the acquired set did not constitute a business because it did not include a substantive process. Accordingly, the transaction was accounted for as an acquisition of assets and liabilities rather than as a business combination. The acquired entity’s assets consisted solely of $445,000 of cash and its liabilities consisted of a $445,000 related party advance to the CEO, payable on demand and is non-interest bearing, and therefore the nominal purchase price reflected the entity’s equity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acquired entity contained only financial assets and financial liabilities and no substantive operations, the transaction was accounted for as the acquisition of a group of assets and liabilities rather than a business. The assets acquired and liabilities assumed were recognized at their respective carrying amounts, which approximate fair value, and the related-party advance remained an obligation of the acquired entity following the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acquired entity was wholly owned by the Company’s Chief Executive Officer, management concluded the entities were not under common control, as the Chief Executive Officer does not control the Company within the meaning of IFRS 10, but instead only is able to exercise significant influence through his voting control of 41% of the Ordinary Shares of Davion. The transaction therefore represents a related-party transaction under IAS 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f1_017"/>
      <w:bookmarkEnd w:id="42"/>
      <w:r>
        <w:rPr>
          <w:rFonts w:ascii="Times New Roman;Times;Serif" w:hAnsi="Times New Roman;Times;Serif"/>
          <w:b/>
          <w:i w:val="false"/>
          <w:caps w:val="false"/>
          <w:smallCaps w:val="false"/>
          <w:sz w:val="20"/>
        </w:rPr>
        <w:t xml:space="preserve">DESCRIPTION OF SHARE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Ireland and our affairs are governed by our amended &amp; restated memorandum and articles of association, the Companies Law 2014 of Ireland, which we refer to as the Companies Law below and the common law of Ireland.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share capital is €1,000,000 Euros, representing 100,000,000 Ordinary Shares with a par value of €0.01 each. As of the date of this filing, 25,000,000 Ordinary Shares are issued and outstanding. All of our issued and outstanding Ordinary Shares are fully 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are identified under the CUSIP number G27599 102. Our transfer agent and registrar in the United States is VStock Transfer, LLC. All shares listed on Nasdaq are held in book-entry form through DTC.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Ordinary Shares to be listed on Nasdaq will be held in book-entry form through the facilities of DTC, with Cede &amp; Co. as the nominee of DTC.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Memorandum and Articles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certain material provisions of the memorandum and articles of association, and of the Companies Law, insofar as they relate to the material terms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Objects of Our Company</w:t>
      </w:r>
      <w:r>
        <w:rPr>
          <w:rFonts w:ascii="Times New Roman;Times;Serif" w:hAnsi="Times New Roman;Times;Serif"/>
          <w:b w:val="false"/>
          <w:i w:val="false"/>
          <w:caps w:val="false"/>
          <w:smallCaps w:val="false"/>
          <w:sz w:val="20"/>
        </w:rPr>
        <w:t>. Under our memorandum and articles of association, the objects of our Company are unrestricted and we have the full power and authority to carry out any object not prohibited by the law of Ireland.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Shares</w:t>
      </w:r>
      <w:r>
        <w:rPr>
          <w:rFonts w:ascii="Times New Roman;Times;Serif" w:hAnsi="Times New Roman;Times;Serif"/>
          <w:b w:val="false"/>
          <w:i w:val="false"/>
          <w:caps w:val="false"/>
          <w:smallCaps w:val="false"/>
          <w:sz w:val="20"/>
        </w:rPr>
        <w:t>. Our Ordinary Shares are issued in registered form and are issued when registered in our register of members. We may not issue shares to bearers. Our shareholders who are non-residents of Ireland may freely hold and vote their Ordinary Shares. Our articles exclude any pre-emption rights relating to transfer of shares or new issues of shares. The Company has only one class of shares, namely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our Ordinary Shares are entitled to such dividends as may be declared by our board of directors. In addition, our shareholders may by ordinary resolution declare a dividend, but no dividend may exceed the amount recommended by our directors. Under the laws of Ireland,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Voting at any shareholders’ meeting is by show of hands unless a poll is demanded. An ordinary share shall entitle the holder thereof to one (1) vote on all matters subject to vote at general meetings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of association. Holders of the Ordinary Shares may, among other things, divide or combine their Ordinary Shares by ordinary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w:t>
      </w:r>
      <w:r>
        <w:rPr>
          <w:rFonts w:ascii="Times New Roman;Times;Serif" w:hAnsi="Times New Roman;Times;Serif"/>
          <w:b w:val="false"/>
          <w:i w:val="false"/>
          <w:caps w:val="false"/>
          <w:smallCaps w:val="false"/>
          <w:sz w:val="20"/>
        </w:rPr>
        <w:t>. Our memorandum and articles of association provide that we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a majority of our board of directors. Advance notice of at least twenty-one calendar days is required for the convening of our annual general shareholders’ meeting (if any) and any other general meeting of our shareholders. A quorum required for any general meeting of shareholders consists of at least two shareholders present or by proxy.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representing in aggregate not less than one-third of the votes attaching to the outstanding Ordinary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Ordinary Shares held by them at the commencement of the winding up, subject to a deduction from those Ordinary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Ordinary Shares held by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Ordinary Shares</w:t>
      </w:r>
      <w:r>
        <w:rPr>
          <w:rFonts w:ascii="Times New Roman;Times;Serif" w:hAnsi="Times New Roman;Times;Serif"/>
          <w:b w:val="false"/>
          <w:i w:val="false"/>
          <w:caps w:val="false"/>
          <w:smallCaps w:val="false"/>
          <w:sz w:val="20"/>
        </w:rPr>
        <w:t>. Our memorandum of association allows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also authorizes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36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25"/>
        <w:gridCol w:w="591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915" w:type="dxa"/>
            <w:tcBorders/>
            <w:vAlign w:val="center"/>
          </w:tcPr>
          <w:p>
            <w:pPr>
              <w:pStyle w:val="TableContents"/>
              <w:bidi w:val="0"/>
              <w:spacing w:before="0" w:after="283"/>
              <w:jc w:val="both"/>
              <w:rPr>
                <w:sz w:val="20"/>
              </w:rPr>
            </w:pPr>
            <w:r>
              <w:rPr>
                <w:sz w:val="20"/>
              </w:rPr>
              <w:t xml:space="preserve">the designation of the series;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59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915" w:type="dxa"/>
            <w:tcBorders/>
            <w:vAlign w:val="center"/>
          </w:tcPr>
          <w:p>
            <w:pPr>
              <w:pStyle w:val="TableContents"/>
              <w:bidi w:val="0"/>
              <w:spacing w:before="0" w:after="283"/>
              <w:jc w:val="both"/>
              <w:rPr>
                <w:sz w:val="20"/>
              </w:rPr>
            </w:pPr>
            <w:r>
              <w:rPr>
                <w:sz w:val="20"/>
              </w:rPr>
              <w:t xml:space="preserve">the number of shares of the series;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59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915" w:type="dxa"/>
            <w:tcBorders/>
            <w:vAlign w:val="center"/>
          </w:tcPr>
          <w:p>
            <w:pPr>
              <w:pStyle w:val="TableContents"/>
              <w:bidi w:val="0"/>
              <w:spacing w:before="0" w:after="283"/>
              <w:jc w:val="both"/>
              <w:rPr>
                <w:sz w:val="20"/>
              </w:rPr>
            </w:pPr>
            <w:r>
              <w:rPr>
                <w:sz w:val="20"/>
              </w:rPr>
              <w:t xml:space="preserve">the dividend rights, dividend rates, conversion rights, voting rights;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59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915" w:type="dxa"/>
            <w:tcBorders/>
            <w:vAlign w:val="center"/>
          </w:tcPr>
          <w:p>
            <w:pPr>
              <w:pStyle w:val="TableContents"/>
              <w:bidi w:val="0"/>
              <w:spacing w:before="0" w:after="283"/>
              <w:jc w:val="both"/>
              <w:rPr>
                <w:sz w:val="20"/>
              </w:rPr>
            </w:pPr>
            <w:r>
              <w:rPr>
                <w:sz w:val="20"/>
              </w:rPr>
              <w:t xml:space="preserve">the rights and terms of redemption and liquidation preferences.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will have no general right under Ireland law to inspect or obtain copies of our list of shareholders or our corporate records. However, we will provide our shareholders with annual Reviewed financial statements. See “</w:t>
      </w:r>
      <w:hyperlink w:anchor="f1_023">
        <w:r>
          <w:rPr>
            <w:rStyle w:val="InternetLink"/>
            <w:rFonts w:ascii="Times New Roman;Times;Serif" w:hAnsi="Times New Roman;Times;Serif"/>
            <w:b w:val="false"/>
            <w:i w:val="false"/>
            <w:caps w:val="false"/>
            <w:smallCaps w:val="false"/>
            <w:sz w:val="20"/>
          </w:rPr>
          <w:t>Where You Can Find Additional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our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authorize our board of directors to issue preference shares in one or more series and to designate the price, rights, preferences, privileges and restrictions of such preference shares without any further vote or action by our shareholders;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limit the ability of shareholders to requisition and convene general meetings of shareholders.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Ireland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Differences in Corporate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Irish Companies Law is derived, to a large extent, from the older Companies Acts of England but does not follow recent English statutory enactments and accordingly there are differences between the Companies Law and the current Companies Act of England. In addition, the Companies Law differs from laws applicable to U.S. corporations and their shareholders. Set forth below is a summary of certain significant differences between the provisions of the Companies Law applicable to us and the laws applicable to companies incorporated in the United States and their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The Companies Law permits mergers and consolidations between Irish companies and between Irish companies and non-Irish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Ireland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Ireland Gazette. Court approval is not required for a merger or consolidation which is effected in compliance with these statutory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The Companies law does not limit the extent to which a Company’s memorandum and articles of association may provide for indemnification of officers and directors. Our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Ireland or elsewhere. This standard of conduct is generally the same as permitted under the Delaware General Corporation Law for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f1_018"/>
      <w:bookmarkEnd w:id="43"/>
      <w:r>
        <w:rPr>
          <w:rFonts w:ascii="Times New Roman;Times;Serif" w:hAnsi="Times New Roman;Times;Serif"/>
          <w:b/>
          <w:i w:val="false"/>
          <w:caps w:val="false"/>
          <w:smallCaps w:val="false"/>
          <w:sz w:val="20"/>
        </w:rPr>
        <w:t>SHARES ELIGIBLE FOR FUTURE SALE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registration &amp; listing of our Ordinary Shares on the Nasdaq, there has been no public market for our Ordinary Shares. Sales of substantial amounts of our Ordinary Shares in the public market following our listing on the Nasdaq, or the perception that such sales could occur, could adversely affect the public price of our Ordinary Shares and may make it more difficult for you to sell your Ordinary Shares at a time and price that you deem appropriate. We will have no input if and when any Registered Shareholder may, or may not, elect to sell their Ordinary Shares or the prices at which any such sales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not offering any new securities in connection with this Registration Statement, and all of the Ordinary Shares have been registered under the Securities Act of 1933, as amended (the “Securities Act”), the Ordinary Shares issued will generally be freely tradable in the United States, except for those held by our “affiliates” as defined in Rule 144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securities are eligible for public sale only if they are registered under the Securities Act, including the Ordinary Shares registered hereunder, or if they qualify for an exemption from registration, including under Rules 144 or 701 under the Securities Act, which are summarized below. Restricted securities also may be sold outside of the United States to non-U.S. persons in accordance with Rule 904 of Regulation S. Substantially all of our Ordinary Shares may be sold after our initial listing on the Nasdaq, either by the Registered Shareholders pursuant to this prospectus or by our other existing shareholders in accordance with Rule 144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below, until we have been a reporting Company for at least 90 days, only non-affiliates who have beneficially owned their Ordinary Shares for a period of at least one year will be able to sell their Ordinary Shares under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firstLine="489"/>
        <w:jc w:val="both"/>
        <w:rPr>
          <w:caps w:val="false"/>
          <w:smallCaps w:val="false"/>
        </w:rPr>
      </w:pPr>
      <w:r>
        <w:rPr>
          <w:caps w:val="false"/>
          <w:smallCaps w:val="false"/>
        </w:rPr>
        <w:t> </w:t>
      </w:r>
    </w:p>
    <w:p>
      <w:pPr>
        <w:pStyle w:val="TextBody"/>
        <w:bidi w:val="0"/>
        <w:spacing w:before="0" w:after="0"/>
        <w:ind w:left="0" w:right="0" w:firstLine="4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144 as currently in effect, once we have been subject to and in compliance with public Company reporting requirements of Section 13 or Section 15(d) of the Exchange Act for at least 90 days, an eligible shareholder is entitled to sell such shares without complying with the manner of sale, volume limitation, or notice provisions of Rule 144, subject to compliance with the public information requirements of Rule 144. To be an eligible shareholder under Rule 144, such shareholder must not be deemed to have been one of our affiliates for purposes of the Securities Act at any time during the 90 days preceding a sale and who has beneficially owned the Ordinary Shares proposed to be sold for at least six months, including the holding period of any prior owner other than our affiliates. If such a person has beneficially owned the Ordinary Shares proposed to be sold for at least one year, including the holding period of any prior owner other than our affiliates, then such person is entitled to sell such shares without complying with any of the requirements of Rule 144.</w:t>
      </w:r>
    </w:p>
    <w:p>
      <w:pPr>
        <w:pStyle w:val="TextBody"/>
        <w:bidi w:val="0"/>
        <w:spacing w:before="0" w:after="0"/>
        <w:ind w:left="0" w:right="0" w:firstLine="489"/>
        <w:jc w:val="both"/>
        <w:rPr>
          <w:caps w:val="false"/>
          <w:smallCaps w:val="false"/>
        </w:rPr>
      </w:pPr>
      <w:r>
        <w:rPr>
          <w:caps w:val="false"/>
          <w:smallCaps w:val="false"/>
        </w:rPr>
        <w:t> </w:t>
      </w:r>
    </w:p>
    <w:p>
      <w:pPr>
        <w:pStyle w:val="TextBody"/>
        <w:bidi w:val="0"/>
        <w:spacing w:before="0" w:after="0"/>
        <w:ind w:left="0" w:right="0" w:firstLine="4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144, as currently in effect, our affiliates or persons selling Ordinary Shares on behalf of our affiliates are entitled to sell shares 90 days after we become a reporting Company. Within any three-month period, such shareholders may sell a number of Ordinary Shares that does not exceed the greater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of the number of Ordinary Shares then outstanding, which will equal approximately 251,250 shares immediately after our registration;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weekly trading volume of our Ordinary Shares during the four calendar weeks preceding the filing of a notice on Form 144 with respect to such sale.</w:t>
            </w:r>
          </w:p>
        </w:tc>
      </w:tr>
    </w:tbl>
    <w:p>
      <w:pPr>
        <w:pStyle w:val="TextBody"/>
        <w:bidi w:val="0"/>
        <w:spacing w:before="0" w:after="0"/>
        <w:ind w:left="0" w:right="0" w:firstLine="489"/>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under Rule 144 by our affiliates or persons selling Ordinary Shares on behalf of our affiliates also are subject to certain manner of sale provisions and notice requirements and to the availability of current public information about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executive officers have agreed to a lock-up period during which they will not sell or transfer their Ordinary Shares without the prior written consent of the Company. These lock-up agreements expire 90 days following the date on which our Ordinary Shares are listed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any lock-up periods and subject to the restrictions described above, including Rule 144 and applicable securities laws, the Ordinary Shares may be sold publicly.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registration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Exemptions for Foreign Private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stated that as a Foreign Private Issuer (FPI) the Company can rely on some home-country practices rather than Nasdaq rules. We intend at this point in time to follow Nasdaq rules, however we reserve the right to consider applying home-country rules if applicable, in situations which would be advantageous to the Company and its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f1a1_050"/>
      <w:bookmarkEnd w:id="44"/>
      <w:r>
        <w:rPr>
          <w:rFonts w:ascii="Times New Roman;Times;Serif" w:hAnsi="Times New Roman;Times;Serif"/>
          <w:b/>
          <w:i w:val="false"/>
          <w:caps w:val="false"/>
          <w:smallCaps w:val="false"/>
          <w:sz w:val="20"/>
        </w:rPr>
        <w:t>REGISTERED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The following table sets forth, as of March 31, 2026, the 25,000,000 Ordinary Shares held by the Registered Shareholders. The Registered Shareholders include (i) affiliates of the Company with “restricted securities” (as defined in Rule 144 under the Securities Act) who, because of their status as affiliates pursuant to Rule 144 or because they acquired their Ordinary Shares from an affiliate or the Company within the prior 12 months, would be unable to sell their securities pursuant to Rule 144 until the Company has been subject to the reporting requirements of Section 13 or Section 15(d) the Exchange Act for a period of at least 90 days, and (ii) all other shareholders. The Registered Shareholders may, or may not, elect to sell their Ordinary Shares covered by this prospectus, as and to the extent they may determine. Such sales, if any, will be made through brokerage transactions on the Nasdaq at prevailing market prices. As such, the Company will have no input if and when any Registered Shareholder may, or may not, elect to sell their Ordinary Shares or the prices at which any such sales may occur. See “</w:t>
      </w:r>
      <w:hyperlink w:anchor="f1_02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Registered Shareholders may change from time to time and any changed information will be set forth in supplements to this Registration Statements, if and when necessary. Because the Registered Shareholders may sell all, some, or none of the Ordinary Shares covered by this prospectus, we cannot determine the number of such Ordinary Shares that will be sold by the Registered Shareholders, or the amount or percentage of Ordinary Shares that will be held by the Registered Shareholders upon consummation of any particular sale. In addition, the Registered Shareholders listed in the table below may have sold, transferred, or otherwise disposed of, or may sell, transfer, or otherwise dispose of, at any time and from time to time, our Ordinary Shares in transactions exempt from the registration requirements of the Securities Act, after the date on which they provided the information set forth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The Registered Shareholders are not entitled to any registration rights with respect to the Ordinary Shares. However, this Registration Statement will remain effective unless and until it is withdrawn or modified by post-effective amendment. We are not party to any arrangement with any Registered Shareholder or any broker-dealer with respect to sales of the Ordinary Shares by the Registered Shareholders. However, we have engaged financial advisors with respect to certain other matters relating to our listing. See “</w:t>
      </w:r>
      <w:hyperlink w:anchor="f1_02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rules of the SEC, beneficial ownership includes voting or investment power with respect to securities and includes the Ordinary Shares issuable pursuant to options, warrants, and RSUs that are exercisable or settled within 60 days of October 31, 2025. Ordinary Shares issuable pursuant to options, warrants, and RSUs are deemed outstanding for computing the percentage of the class beneficially owned by the person holding such securities but are not deemed outstanding for computing the percentage of the class beneficially owned by any other person. The percentage of beneficial ownership for the following table is based on total Ordinary Shares outstanding as of October 31, 2025. </w:t>
      </w:r>
      <w:r>
        <w:rPr>
          <w:rFonts w:ascii="Times New Roman;Times;Serif" w:hAnsi="Times New Roman;Times;Serif"/>
          <w:b w:val="false"/>
          <w:i w:val="false"/>
          <w:caps w:val="false"/>
          <w:smallCaps w:val="false"/>
          <w:sz w:val="20"/>
          <w:shd w:fill="FFFFFF" w:val="clear"/>
        </w:rPr>
        <w:t>As seen below, of 604 total shareholders, 596 hold less than 5%, and 586 hold less than 1%.</w:t>
      </w:r>
    </w:p>
    <w:p>
      <w:pPr>
        <w:pStyle w:val="TextBody"/>
        <w:bidi w:val="0"/>
        <w:spacing w:before="0" w:after="0"/>
        <w:ind w:left="0" w:right="0" w:firstLine="360"/>
        <w:jc w:val="both"/>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3530"/>
        <w:gridCol w:w="60"/>
        <w:gridCol w:w="60"/>
        <w:gridCol w:w="1100"/>
        <w:gridCol w:w="60"/>
        <w:gridCol w:w="60"/>
        <w:gridCol w:w="164"/>
        <w:gridCol w:w="1041"/>
        <w:gridCol w:w="165"/>
        <w:gridCol w:w="60"/>
        <w:gridCol w:w="101"/>
        <w:gridCol w:w="942"/>
        <w:gridCol w:w="102"/>
        <w:gridCol w:w="60"/>
        <w:gridCol w:w="92"/>
        <w:gridCol w:w="1236"/>
        <w:gridCol w:w="115"/>
      </w:tblGrid>
      <w:tr>
        <w:trPr/>
        <w:tc>
          <w:tcPr>
            <w:tcW w:w="3530" w:type="dxa"/>
            <w:tcBorders/>
            <w:vAlign w:val="center"/>
          </w:tcPr>
          <w:p>
            <w:pPr>
              <w:pStyle w:val="TableContents"/>
              <w:bidi w:val="0"/>
              <w:spacing w:before="0" w:after="283"/>
              <w:jc w:val="center"/>
              <w:rPr>
                <w:b/>
              </w:rPr>
            </w:pPr>
            <w:r>
              <w:rPr>
                <w:b/>
              </w:rPr>
              <w:t>Registered Shareholders</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Ordinary</w:t>
            </w:r>
          </w:p>
        </w:tc>
        <w:tc>
          <w:tcPr>
            <w:tcW w:w="60" w:type="dxa"/>
            <w:tcBorders/>
            <w:vAlign w:val="center"/>
          </w:tcPr>
          <w:p>
            <w:pPr>
              <w:pStyle w:val="TableContents"/>
              <w:bidi w:val="0"/>
              <w:spacing w:before="0" w:after="283"/>
              <w:jc w:val="left"/>
              <w:rPr/>
            </w:pPr>
            <w:r>
              <w:rPr/>
              <w:t> </w:t>
            </w:r>
          </w:p>
        </w:tc>
        <w:tc>
          <w:tcPr>
            <w:tcW w:w="1370" w:type="dxa"/>
            <w:gridSpan w:val="3"/>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1145" w:type="dxa"/>
            <w:gridSpan w:val="3"/>
            <w:tcBorders/>
            <w:vAlign w:val="center"/>
          </w:tcPr>
          <w:p>
            <w:pPr>
              <w:pStyle w:val="TableContents"/>
              <w:bidi w:val="0"/>
              <w:spacing w:before="0" w:after="283"/>
              <w:jc w:val="center"/>
              <w:rPr>
                <w:b/>
              </w:rPr>
            </w:pPr>
            <w:r>
              <w:rPr>
                <w:b/>
              </w:rPr>
              <w:t>% of</w:t>
            </w:r>
          </w:p>
        </w:tc>
        <w:tc>
          <w:tcPr>
            <w:tcW w:w="60" w:type="dxa"/>
            <w:tcBorders/>
            <w:vAlign w:val="center"/>
          </w:tcPr>
          <w:p>
            <w:pPr>
              <w:pStyle w:val="TableContents"/>
              <w:bidi w:val="0"/>
              <w:spacing w:before="0" w:after="283"/>
              <w:jc w:val="left"/>
              <w:rPr/>
            </w:pPr>
            <w:r>
              <w:rPr/>
              <w:t> </w:t>
            </w:r>
          </w:p>
        </w:tc>
        <w:tc>
          <w:tcPr>
            <w:tcW w:w="1443" w:type="dxa"/>
            <w:gridSpan w:val="3"/>
            <w:tcBorders/>
            <w:vAlign w:val="center"/>
          </w:tcPr>
          <w:p>
            <w:pPr>
              <w:pStyle w:val="TableContents"/>
              <w:bidi w:val="0"/>
              <w:spacing w:before="0" w:after="283"/>
              <w:jc w:val="center"/>
              <w:rPr>
                <w:b/>
              </w:rPr>
            </w:pPr>
            <w:r>
              <w:rPr>
                <w:b/>
              </w:rPr>
              <w:t>% of</w:t>
            </w:r>
          </w:p>
        </w:tc>
      </w:tr>
      <w:tr>
        <w:trPr/>
        <w:tc>
          <w:tcPr>
            <w:tcW w:w="3530" w:type="dxa"/>
            <w:tcBorders>
              <w:bottom w:val="single" w:sz="8" w:space="0" w:color="000000"/>
            </w:tcBorders>
            <w:tcMar>
              <w:bottom w:w="28" w:type="dxa"/>
            </w:tcMar>
            <w:vAlign w:val="center"/>
          </w:tcPr>
          <w:p>
            <w:pPr>
              <w:pStyle w:val="TableContents"/>
              <w:bidi w:val="0"/>
              <w:spacing w:before="0" w:after="283"/>
              <w:jc w:val="center"/>
              <w:rPr>
                <w:b/>
              </w:rPr>
            </w:pPr>
            <w:r>
              <w:rPr>
                <w:b/>
              </w:rPr>
              <w:t>Name</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13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Shareholders</w:t>
            </w:r>
          </w:p>
        </w:tc>
        <w:tc>
          <w:tcPr>
            <w:tcW w:w="60" w:type="dxa"/>
            <w:tcBorders/>
            <w:vAlign w:val="center"/>
          </w:tcPr>
          <w:p>
            <w:pPr>
              <w:pStyle w:val="TableContents"/>
              <w:bidi w:val="0"/>
              <w:spacing w:before="0" w:after="283"/>
              <w:jc w:val="left"/>
              <w:rPr/>
            </w:pPr>
            <w:r>
              <w:rPr/>
              <w:t> </w:t>
            </w:r>
          </w:p>
        </w:tc>
        <w:tc>
          <w:tcPr>
            <w:tcW w:w="11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Ownership</w:t>
            </w:r>
          </w:p>
        </w:tc>
        <w:tc>
          <w:tcPr>
            <w:tcW w:w="60" w:type="dxa"/>
            <w:tcBorders/>
            <w:vAlign w:val="center"/>
          </w:tcPr>
          <w:p>
            <w:pPr>
              <w:pStyle w:val="TableContents"/>
              <w:bidi w:val="0"/>
              <w:spacing w:before="0" w:after="283"/>
              <w:jc w:val="left"/>
              <w:rPr/>
            </w:pPr>
            <w:r>
              <w:rPr/>
              <w:t> </w:t>
            </w:r>
          </w:p>
        </w:tc>
        <w:tc>
          <w:tcPr>
            <w:tcW w:w="144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Voting Power</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3" w:type="dxa"/>
            <w:gridSpan w:val="3"/>
            <w:tcBorders/>
            <w:vAlign w:val="center"/>
          </w:tcPr>
          <w:p>
            <w:pPr>
              <w:pStyle w:val="TableContents"/>
              <w:bidi w:val="0"/>
              <w:spacing w:before="0" w:after="283"/>
              <w:jc w:val="center"/>
              <w:rPr/>
            </w:pPr>
            <w:r>
              <w:rPr/>
              <w:t> </w:t>
            </w:r>
          </w:p>
        </w:tc>
      </w:tr>
      <w:tr>
        <w:trPr/>
        <w:tc>
          <w:tcPr>
            <w:tcW w:w="3530" w:type="dxa"/>
            <w:tcBorders/>
            <w:shd w:fill="EEEEEE" w:val="clear"/>
            <w:vAlign w:val="center"/>
          </w:tcPr>
          <w:p>
            <w:pPr>
              <w:pStyle w:val="TableContents"/>
              <w:bidi w:val="0"/>
              <w:spacing w:before="0" w:after="283"/>
              <w:jc w:val="left"/>
              <w:rPr/>
            </w:pPr>
            <w:r>
              <w:rPr/>
              <w:t>Jack Kaye*</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10,268,948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041" w:type="dxa"/>
            <w:tcBorders/>
            <w:shd w:fill="EEEEEE" w:val="clear"/>
            <w:vAlign w:val="center"/>
          </w:tcPr>
          <w:p>
            <w:pPr>
              <w:pStyle w:val="TableContents"/>
              <w:bidi w:val="0"/>
              <w:spacing w:before="0" w:after="283"/>
              <w:jc w:val="right"/>
              <w:rPr/>
            </w:pPr>
            <w:r>
              <w:rPr/>
              <w:t>1</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shd w:fill="EEEEEE" w:val="clear"/>
            <w:vAlign w:val="center"/>
          </w:tcPr>
          <w:p>
            <w:pPr>
              <w:pStyle w:val="TableContents"/>
              <w:bidi w:val="0"/>
              <w:spacing w:before="0" w:after="283"/>
              <w:jc w:val="left"/>
              <w:rPr/>
            </w:pPr>
            <w:r>
              <w:rPr/>
              <w:t> </w:t>
            </w:r>
          </w:p>
        </w:tc>
        <w:tc>
          <w:tcPr>
            <w:tcW w:w="942" w:type="dxa"/>
            <w:tcBorders/>
            <w:shd w:fill="EEEEEE" w:val="clear"/>
            <w:vAlign w:val="center"/>
          </w:tcPr>
          <w:p>
            <w:pPr>
              <w:pStyle w:val="TableContents"/>
              <w:bidi w:val="0"/>
              <w:spacing w:before="0" w:after="283"/>
              <w:jc w:val="right"/>
              <w:rPr/>
            </w:pPr>
            <w:r>
              <w:rPr/>
              <w:t>41.07%</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236" w:type="dxa"/>
            <w:tcBorders/>
            <w:shd w:fill="EEEEEE" w:val="clear"/>
            <w:vAlign w:val="center"/>
          </w:tcPr>
          <w:p>
            <w:pPr>
              <w:pStyle w:val="TableContents"/>
              <w:bidi w:val="0"/>
              <w:spacing w:before="0" w:after="283"/>
              <w:jc w:val="right"/>
              <w:rPr/>
            </w:pPr>
            <w:r>
              <w:rPr/>
              <w:t>41.07%</w:t>
            </w:r>
          </w:p>
        </w:tc>
        <w:tc>
          <w:tcPr>
            <w:tcW w:w="11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David Over*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4.9%</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4.9%</w:t>
            </w:r>
          </w:p>
        </w:tc>
        <w:tc>
          <w:tcPr>
            <w:tcW w:w="11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pPr>
            <w:r>
              <w:rPr/>
              <w:t>Sir Eric Peacock*</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041" w:type="dxa"/>
            <w:tcBorders/>
            <w:shd w:fill="EEEEEE" w:val="clear"/>
            <w:vAlign w:val="center"/>
          </w:tcPr>
          <w:p>
            <w:pPr>
              <w:pStyle w:val="TableContents"/>
              <w:bidi w:val="0"/>
              <w:spacing w:before="0" w:after="283"/>
              <w:jc w:val="right"/>
              <w:rPr/>
            </w:pPr>
            <w:r>
              <w:rPr/>
              <w:t>1</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shd w:fill="EEEEEE" w:val="clear"/>
            <w:vAlign w:val="center"/>
          </w:tcPr>
          <w:p>
            <w:pPr>
              <w:pStyle w:val="TableContents"/>
              <w:bidi w:val="0"/>
              <w:spacing w:before="0" w:after="283"/>
              <w:jc w:val="left"/>
              <w:rPr/>
            </w:pPr>
            <w:r>
              <w:rPr/>
              <w:t> </w:t>
            </w:r>
          </w:p>
        </w:tc>
        <w:tc>
          <w:tcPr>
            <w:tcW w:w="942" w:type="dxa"/>
            <w:tcBorders/>
            <w:shd w:fill="EEEEEE" w:val="clear"/>
            <w:vAlign w:val="center"/>
          </w:tcPr>
          <w:p>
            <w:pPr>
              <w:pStyle w:val="TableContents"/>
              <w:bidi w:val="0"/>
              <w:spacing w:before="0" w:after="283"/>
              <w:jc w:val="right"/>
              <w:rPr/>
            </w:pPr>
            <w:r>
              <w:rPr/>
              <w:t>0.04%</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236" w:type="dxa"/>
            <w:tcBorders/>
            <w:shd w:fill="EEEEEE" w:val="clear"/>
            <w:vAlign w:val="center"/>
          </w:tcPr>
          <w:p>
            <w:pPr>
              <w:pStyle w:val="TableContents"/>
              <w:bidi w:val="0"/>
              <w:spacing w:before="0" w:after="283"/>
              <w:jc w:val="right"/>
              <w:rPr/>
            </w:pPr>
            <w:r>
              <w:rPr/>
              <w:t>0.04%</w:t>
            </w:r>
          </w:p>
        </w:tc>
        <w:tc>
          <w:tcPr>
            <w:tcW w:w="11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Kevin Riches*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0.02%</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0.02%</w:t>
            </w:r>
          </w:p>
        </w:tc>
        <w:tc>
          <w:tcPr>
            <w:tcW w:w="11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pPr>
            <w:r>
              <w:rPr/>
              <w:t>Susan M. King*</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5,000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041" w:type="dxa"/>
            <w:tcBorders/>
            <w:shd w:fill="EEEEEE" w:val="clear"/>
            <w:vAlign w:val="center"/>
          </w:tcPr>
          <w:p>
            <w:pPr>
              <w:pStyle w:val="TableContents"/>
              <w:bidi w:val="0"/>
              <w:spacing w:before="0" w:after="283"/>
              <w:jc w:val="right"/>
              <w:rPr/>
            </w:pPr>
            <w:r>
              <w:rPr/>
              <w:t>1</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shd w:fill="EEEEEE" w:val="clear"/>
            <w:vAlign w:val="center"/>
          </w:tcPr>
          <w:p>
            <w:pPr>
              <w:pStyle w:val="TableContents"/>
              <w:bidi w:val="0"/>
              <w:spacing w:before="0" w:after="283"/>
              <w:jc w:val="left"/>
              <w:rPr/>
            </w:pPr>
            <w:r>
              <w:rPr/>
              <w:t> </w:t>
            </w:r>
          </w:p>
        </w:tc>
        <w:tc>
          <w:tcPr>
            <w:tcW w:w="942" w:type="dxa"/>
            <w:tcBorders/>
            <w:shd w:fill="EEEEEE" w:val="clear"/>
            <w:vAlign w:val="center"/>
          </w:tcPr>
          <w:p>
            <w:pPr>
              <w:pStyle w:val="TableContents"/>
              <w:bidi w:val="0"/>
              <w:spacing w:before="0" w:after="283"/>
              <w:jc w:val="right"/>
              <w:rPr/>
            </w:pPr>
            <w:r>
              <w:rPr/>
              <w:t>0.02%</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236" w:type="dxa"/>
            <w:tcBorders/>
            <w:shd w:fill="EEEEEE" w:val="clear"/>
            <w:vAlign w:val="center"/>
          </w:tcPr>
          <w:p>
            <w:pPr>
              <w:pStyle w:val="TableContents"/>
              <w:bidi w:val="0"/>
              <w:spacing w:before="0" w:after="283"/>
              <w:jc w:val="right"/>
              <w:rPr/>
            </w:pPr>
            <w:r>
              <w:rPr/>
              <w:t>0.02%</w:t>
            </w:r>
          </w:p>
        </w:tc>
        <w:tc>
          <w:tcPr>
            <w:tcW w:w="11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Julian F. Sluyters*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0.02%</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0.02%</w:t>
            </w:r>
          </w:p>
        </w:tc>
        <w:tc>
          <w:tcPr>
            <w:tcW w:w="11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pPr>
            <w:r>
              <w:rPr/>
              <w:t>Jan Dulman*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041" w:type="dxa"/>
            <w:tcBorders/>
            <w:shd w:fill="EEEEEE" w:val="clear"/>
            <w:vAlign w:val="center"/>
          </w:tcPr>
          <w:p>
            <w:pPr>
              <w:pStyle w:val="TableContents"/>
              <w:bidi w:val="0"/>
              <w:spacing w:before="0" w:after="283"/>
              <w:jc w:val="right"/>
              <w:rPr/>
            </w:pPr>
            <w:r>
              <w:rPr/>
              <w:t>1</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shd w:fill="EEEEEE" w:val="clear"/>
            <w:vAlign w:val="center"/>
          </w:tcPr>
          <w:p>
            <w:pPr>
              <w:pStyle w:val="TableContents"/>
              <w:bidi w:val="0"/>
              <w:spacing w:before="0" w:after="283"/>
              <w:jc w:val="left"/>
              <w:rPr/>
            </w:pPr>
            <w:r>
              <w:rPr/>
              <w:t> </w:t>
            </w:r>
          </w:p>
        </w:tc>
        <w:tc>
          <w:tcPr>
            <w:tcW w:w="942" w:type="dxa"/>
            <w:tcBorders/>
            <w:shd w:fill="EEEEEE" w:val="clear"/>
            <w:vAlign w:val="center"/>
          </w:tcPr>
          <w:p>
            <w:pPr>
              <w:pStyle w:val="TableContents"/>
              <w:bidi w:val="0"/>
              <w:spacing w:before="0" w:after="283"/>
              <w:jc w:val="right"/>
              <w:rPr/>
            </w:pPr>
            <w:r>
              <w:rPr/>
              <w:t>0.04%</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shd w:fill="EEEEEE" w:val="clear"/>
            <w:vAlign w:val="center"/>
          </w:tcPr>
          <w:p>
            <w:pPr>
              <w:pStyle w:val="TableContents"/>
              <w:bidi w:val="0"/>
              <w:spacing w:before="0" w:after="283"/>
              <w:jc w:val="left"/>
              <w:rPr/>
            </w:pPr>
            <w:r>
              <w:rPr/>
              <w:t> </w:t>
            </w:r>
          </w:p>
        </w:tc>
        <w:tc>
          <w:tcPr>
            <w:tcW w:w="1236" w:type="dxa"/>
            <w:tcBorders/>
            <w:shd w:fill="EEEEEE" w:val="clear"/>
            <w:vAlign w:val="center"/>
          </w:tcPr>
          <w:p>
            <w:pPr>
              <w:pStyle w:val="TableContents"/>
              <w:bidi w:val="0"/>
              <w:spacing w:before="0" w:after="283"/>
              <w:jc w:val="right"/>
              <w:rPr/>
            </w:pPr>
            <w:r>
              <w:rPr/>
              <w:t>0.04%</w:t>
            </w:r>
          </w:p>
        </w:tc>
        <w:tc>
          <w:tcPr>
            <w:tcW w:w="11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Non Affiliate Shareholders 1% &lt;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9,832,815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10</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39.3%</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39.2%</w:t>
            </w:r>
          </w:p>
        </w:tc>
        <w:tc>
          <w:tcPr>
            <w:tcW w:w="11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pPr>
            <w:r>
              <w:rPr/>
              <w:t>Non Affiliate Shareholders &lt; 1%</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3,646,237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EEEEEE" w:val="clear"/>
            <w:tcMar>
              <w:bottom w:w="28" w:type="dxa"/>
            </w:tcMar>
            <w:vAlign w:val="center"/>
          </w:tcPr>
          <w:p>
            <w:pPr>
              <w:pStyle w:val="TableContents"/>
              <w:bidi w:val="0"/>
              <w:spacing w:before="0" w:after="283"/>
              <w:jc w:val="right"/>
              <w:rPr/>
            </w:pPr>
            <w:r>
              <w:rPr/>
              <w:t>583</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EEEEEE" w:val="clear"/>
            <w:tcMar>
              <w:bottom w:w="28" w:type="dxa"/>
            </w:tcMar>
            <w:vAlign w:val="center"/>
          </w:tcPr>
          <w:p>
            <w:pPr>
              <w:pStyle w:val="TableContents"/>
              <w:bidi w:val="0"/>
              <w:spacing w:before="0" w:after="283"/>
              <w:jc w:val="right"/>
              <w:rPr/>
            </w:pPr>
            <w:r>
              <w:rPr/>
              <w:t>14.6%</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EEEEEE" w:val="clear"/>
            <w:tcMar>
              <w:bottom w:w="28" w:type="dxa"/>
            </w:tcMar>
            <w:vAlign w:val="center"/>
          </w:tcPr>
          <w:p>
            <w:pPr>
              <w:pStyle w:val="TableContents"/>
              <w:bidi w:val="0"/>
              <w:spacing w:before="0" w:after="283"/>
              <w:jc w:val="right"/>
              <w:rPr/>
            </w:pPr>
            <w:r>
              <w:rPr/>
              <w:t>14.69%</w:t>
            </w:r>
          </w:p>
        </w:tc>
        <w:tc>
          <w:tcPr>
            <w:tcW w:w="115" w:type="dxa"/>
            <w:tcBorders/>
            <w:shd w:fill="EEEEEE"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530"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60" w:type="dxa"/>
            <w:tcBorders>
              <w:bottom w:val="double" w:sz="6" w:space="0" w:color="000000"/>
            </w:tcBorders>
            <w:shd w:fill="EEEEEE" w:val="clear"/>
            <w:tcMar>
              <w:bottom w:w="50" w:type="dxa"/>
            </w:tcMar>
            <w:vAlign w:val="center"/>
          </w:tcPr>
          <w:p>
            <w:pPr>
              <w:pStyle w:val="TableContents"/>
              <w:bidi w:val="0"/>
              <w:spacing w:before="0" w:after="283"/>
              <w:jc w:val="left"/>
              <w:rPr/>
            </w:pPr>
            <w:r>
              <w:rPr/>
              <w:t> </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25,000,000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bottom w:val="double" w:sz="6" w:space="0" w:color="000000"/>
            </w:tcBorders>
            <w:shd w:fill="EEEEEE" w:val="clear"/>
            <w:tcMar>
              <w:bottom w:w="50" w:type="dxa"/>
            </w:tcMar>
            <w:vAlign w:val="center"/>
          </w:tcPr>
          <w:p>
            <w:pPr>
              <w:pStyle w:val="TableContents"/>
              <w:bidi w:val="0"/>
              <w:spacing w:before="0" w:after="283"/>
              <w:jc w:val="left"/>
              <w:rPr/>
            </w:pPr>
            <w:r>
              <w:rPr/>
              <w:t> </w:t>
            </w:r>
          </w:p>
        </w:tc>
        <w:tc>
          <w:tcPr>
            <w:tcW w:w="1041"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600</w:t>
            </w:r>
          </w:p>
        </w:tc>
        <w:tc>
          <w:tcPr>
            <w:tcW w:w="16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1" w:type="dxa"/>
            <w:tcBorders>
              <w:bottom w:val="double" w:sz="6" w:space="0" w:color="000000"/>
            </w:tcBorders>
            <w:shd w:fill="EEEEEE" w:val="clear"/>
            <w:tcMar>
              <w:bottom w:w="50" w:type="dxa"/>
            </w:tcMar>
            <w:vAlign w:val="center"/>
          </w:tcPr>
          <w:p>
            <w:pPr>
              <w:pStyle w:val="TableContents"/>
              <w:bidi w:val="0"/>
              <w:spacing w:before="0" w:after="283"/>
              <w:jc w:val="left"/>
              <w:rPr/>
            </w:pPr>
            <w:r>
              <w:rPr/>
              <w:t> </w:t>
            </w:r>
          </w:p>
        </w:tc>
        <w:tc>
          <w:tcPr>
            <w:tcW w:w="942"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100.0%</w:t>
            </w:r>
          </w:p>
        </w:tc>
        <w:tc>
          <w:tcPr>
            <w:tcW w:w="1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2" w:type="dxa"/>
            <w:tcBorders>
              <w:bottom w:val="double" w:sz="6" w:space="0" w:color="000000"/>
            </w:tcBorders>
            <w:shd w:fill="EEEEEE" w:val="clear"/>
            <w:tcMar>
              <w:bottom w:w="50" w:type="dxa"/>
            </w:tcMar>
            <w:vAlign w:val="center"/>
          </w:tcPr>
          <w:p>
            <w:pPr>
              <w:pStyle w:val="TableContents"/>
              <w:bidi w:val="0"/>
              <w:spacing w:before="0" w:after="283"/>
              <w:jc w:val="left"/>
              <w:rPr/>
            </w:pPr>
            <w:r>
              <w:rPr/>
              <w:t> </w:t>
            </w:r>
          </w:p>
        </w:tc>
        <w:tc>
          <w:tcPr>
            <w:tcW w:w="1236"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100.0%</w:t>
            </w:r>
          </w:p>
        </w:tc>
        <w:tc>
          <w:tcPr>
            <w:tcW w:w="115"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748" w:type="dxa"/>
        <w:jc w:val="left"/>
        <w:tblInd w:w="0" w:type="dxa"/>
        <w:tblLayout w:type="fixed"/>
        <w:tblCellMar>
          <w:top w:w="0" w:type="dxa"/>
          <w:left w:w="0" w:type="dxa"/>
          <w:bottom w:w="0" w:type="dxa"/>
          <w:right w:w="0" w:type="dxa"/>
        </w:tblCellMar>
      </w:tblPr>
      <w:tblGrid>
        <w:gridCol w:w="38"/>
        <w:gridCol w:w="125"/>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5" w:type="dxa"/>
            <w:tcBorders/>
            <w:vAlign w:val="center"/>
          </w:tcPr>
          <w:p>
            <w:pPr>
              <w:pStyle w:val="TableContents"/>
              <w:bidi w:val="0"/>
              <w:spacing w:before="0" w:after="283"/>
              <w:jc w:val="both"/>
              <w:rPr/>
            </w:pPr>
            <w:r>
              <w:rPr>
                <w:rFonts w:ascii="Times New Roman;Times;Serif" w:hAnsi="Times New Roman;Times;Serif"/>
                <w:sz w:val="20"/>
              </w:rPr>
              <w:t>Board of Directors are affiliates, see “</w:t>
            </w:r>
            <w:hyperlink w:anchor="f1_015">
              <w:r>
                <w:rPr>
                  <w:rStyle w:val="InternetLink"/>
                  <w:rFonts w:ascii="Times New Roman;Times;Serif" w:hAnsi="Times New Roman;Times;Serif"/>
                  <w:sz w:val="20"/>
                </w:rPr>
                <w:t>Principal Shareholders</w:t>
              </w:r>
            </w:hyperlink>
            <w:r>
              <w:rPr>
                <w:rFonts w:ascii="Times New Roman;Times;Serif" w:hAnsi="Times New Roman;Times;Serif"/>
                <w:sz w:val="20"/>
              </w:rPr>
              <w:t>” section</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f1_019"/>
      <w:bookmarkEnd w:id="45"/>
      <w:r>
        <w:rPr>
          <w:rFonts w:ascii="Times New Roman;Times;Serif" w:hAnsi="Times New Roman;Times;Serif"/>
          <w:b/>
          <w:i w:val="false"/>
          <w:caps w:val="false"/>
          <w:smallCaps w:val="false"/>
          <w:sz w:val="20"/>
        </w:rPr>
        <w:t xml:space="preserve">TAXATION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Ireland and U.S. federal income tax consequences of an investment in the Ordinary Shares is based upon laws and relevant interpretations thereof in effect as of the date of this Registration Statement, all of which are subject to change. This summary does not deal with all possible tax consequences relating to an investment in the Ordinary Shares, such as the tax consequences under U.S. state and local tax laws or under the tax laws of jurisdictions other than Ireland and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Ireland Taxation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Ireland currently levies 12.5% on profits of corporations. based upon profits, income, gains or appreciation and there is no taxation in the nature of inheritance tax or estate duty. There are no other taxes likely to be material to us levied by the government of Ireland, except for stamp duties which may be applicable on instruments executed in, or, after execution, brought within the jurisdiction of Ireland. Ireland is a party to double tax treaties with both the USA and the United Kingdom. There are no exchange control regulations or currency restrictions in Ireland.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and Ordinary Shares may be subject to taxation in Ireland, however non-Irish resident holders can usually claim an exemption or a refund of any Irish Dividend withholding tax (DWTT) derived from the disposal of our Ordinary Shares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stamp duty is payable in respect of the issue of the shares or Ordinary Shares, but an instrument of transfer in respect of a share may incur 1% stamp duty dependent on whether the transaction relates to an Irish or non-Irish resident holder, or whether it is exempt through exemptions where trading takes place on a regulated approved market such as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promote the growth of Irish public companies, in 2026 the Irish government removed the 1% stamp duty on all share transfers by companies with market capitalizations below 1 billion Euros. To take advantage of the exemption, companies must make a valid annual notification to the Irish Revenue Commissioners to trigger the exemption period. As such, Davion has secured such exemption through December 31, 2026 and intends to reapply annually subject to being below the market capitalization. Irrespective of this exemption being in place, Nasdaq on market trades continue to be exempt from stamp duty.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Federal Income Tax Considerations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the Ordinary Shares by a U.S. Holder (as defined below) that acquires the Ordinary Shares in this registration and holds the Ordinary Shares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the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firstLine="36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25"/>
        <w:gridCol w:w="3170"/>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banks and other financial institutions;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insurance companies;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pension plans;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cooperatives;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regulated investment companies;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31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170" w:type="dxa"/>
            <w:tcBorders/>
            <w:vAlign w:val="center"/>
          </w:tcPr>
          <w:p>
            <w:pPr>
              <w:pStyle w:val="TableContents"/>
              <w:bidi w:val="0"/>
              <w:spacing w:before="0" w:after="283"/>
              <w:jc w:val="both"/>
              <w:rPr>
                <w:sz w:val="20"/>
              </w:rPr>
            </w:pPr>
            <w:r>
              <w:rPr>
                <w:sz w:val="20"/>
              </w:rPr>
              <w:t xml:space="preserve">real estate investment trusts;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broker-dealers;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traders that elect to use a mark-to-market method of accounting;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certain former U.S. citizens or long-term residents;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tax-exempt entities (including private foundations);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holders who acquire their Ordinary Shares pursuant to any employee share option or otherwise as compensation;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investors that will hold their Ordinary Shares as part of a straddle, hedge, conversion, constructive sale or other integrated transaction for U.S. federal income tax purposes;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investors that have a functional currency other than the U.S. dollar;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investors subject to special tax accounting rules as a result of any item of gross income with respect to Ordinary Shares being taken into account in an “applicable financial statement” (as defined in the Code);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persons that actually or constructively own 10% or more of our stock (by vote or value); or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partnerships or other entities taxable as partnerships for U.S. federal income tax purposes, or persons holding Ordinary Shares through such entities.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whom may be subject to tax rules that differ significantly from those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U.S. Holder is urged to consult its tax advisor regarding the application of U.S. federal taxation to its particular circumstances, and the state, local, non-U.S. and other tax considerations of the ownership and disposition of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General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Ordinary Shares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an individual who is a citizen or resident of the United States;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 corporation (or other entity treated as a corporation for U.S. federal income tax purposes) created in, or organized under the law of the United States or any state thereof or the District of Columbia;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an estate the income of which is includible in gross income for U.S. federal income tax purposes regardless of its source; or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U.S. federal income tax purposes) is a beneficial owner of the Ordinary Shares or our Ordinary Shares, the tax treatment of a partner in the partnership will generally depend upon the status of the partner and the activities of the partnership. Partnerships holding Ordinary Shares or our Ordinary Shares and their partners are urged to consult their tax advisors regarding an investment in the Ordinary Shares or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Dividends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any cash distributions paid on the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Because we do not intend to determine our earnings and profits on the basis of U.S. federal income tax principles, any distribution we pay will generally be treated as a “dividend” for U.S. federal income tax purposes. Dividends received on the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the shares are readily tradeable on an established securities market in the United States, (2) we are neither a PFIC nor treated as such with respect to such a U.S. Holder (as discussed below) for the taxable year in which the dividend was paid and the preceding taxable year, and (3) certain holding period requirements are met. We expect the Ordinary Shares, which we have applied to list on the Nasdaq, will be readily tradeable on an established securities market in the United States. There can be no assurance, however, that the shares will be considered readily tradeable on an established securities market in later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the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 or Other Disposition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“Passive Foreign Investment Company Rules,” a U.S. Holder will generally recognize capital gain or loss upon the sale or other disposition of Ordinary Shares in an amount equal to the difference between the amount realized upon the disposition and the holder’s adjusted tax basis in such Ordinary Shares. Any capital gain or loss will be long-term if the Ordinary Shares have been held for more than one year and will generally be U.S.-source gain or loss for U.S. foreign tax credit purposes. Long-term capital gain of non-corporate U.S. Holders is generally eligible for a reduced rate of taxation. The deductibility of a capital loss may be subject to limitations. U.S. Holders are urged to consult their tax advisors regarding the tax consequences if a foreign tax is imposed on a disposition of the Ordinary Shares, including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Passive Foreign Investment Company Rules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the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 PFIC rules: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the excess distribution or gain will be allocated ratably over the U.S. Holder’s holding period for the Ordinary Shares;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the amount allocated to the current taxable year and any taxable years in the U.S. Holder’s holding period prior to the first taxable year in which we are classified as a PFIC (each, a “pre-PFIC year”), will be taxable as ordinary income;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the amount allocated to each prior taxable year, other than a pre-PFIC year, will be subject to tax at the highest tax rate in effect for individuals or corporations, as appropriate, for that year;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an additional tax equal to the interest charge generally applicable to underpayments of tax will be imposed on the tax attributable to each prior taxable year, other than a pre-PFIC year.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Ordinary Shares and any of our SUBSIDIARY, our variable interest entities or any of the SUBSIDIARY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SUBSIDIARY, our variable interest entities or any of the SUBSIDIARY of our variable interest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such stock is regularly traded. For those purposes, the Ordinary Shares, but not our Ordinary Shares, will be treated as marketable stock upon their listing on the Nasdaq. We anticipate that the Ordinary Shares should qualify as being regularly traded, but no assurances may be given in this regard. If a U.S. Holder makes this election, the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the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Ordinary Shares during any taxable year that we are a PFIC, the holder must generally file an annual IRS Form 8621. You should consult your tax advisors regarding the U.S. federal income tax consequences of owning and disposing of your Ordinary Shares if we are or become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officers and holders of more than 5% of the Company’s outstanding Ordinary Shares as of the effective date of the registration statement have agreed, subject to certain exceptions, to a ninety day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6" w:name="pos_002"/>
      <w:bookmarkEnd w:id="46"/>
      <w:r>
        <w:rPr>
          <w:rFonts w:ascii="Times New Roman;Times;Serif" w:hAnsi="Times New Roman;Times;Serif"/>
          <w:b/>
          <w:i w:val="false"/>
          <w:caps w:val="false"/>
          <w:smallCaps w:val="false"/>
          <w:sz w:val="20"/>
        </w:rPr>
        <w:t>DIRECT LISTING OVERVIEW</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conducting a direct listing of all 25,000,000 of our issued and outstanding Ordinary Shares (the “Ordinary Shares”) on the Nasdaq Global Market (the “Direct Listing”). We are not offering any new securities, and we will not receive any proceeds from the sale of Ordinary Shares by the registered shareholders identified in this prospectus (the “Registered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corporate advisor participates in the Nasdaq listing process in accordance with applicable exchange rules, but does not determine the reference price or opening auction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 listing differs materially from a traditional underwritten initial public offering (“IPO”). In a direct listing:</w:t>
      </w:r>
    </w:p>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1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direct listing does not involve a firm commitment underwriting.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no firm-commitment purchase of securities,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no bookbuilding process,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no negotiated IPO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pricing is established by Nasdaq’s opening auction system, based solely on supply and demand.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public price of our Ordinary Shares on the Nasdaq will be determined through Nasdaq’s automated opening auction process. Nasdaq will collect buy and sell orders submitted by broker-dealers and market participants prior to the commencement of trading and will establish a single opening price at which the maximum number of shares can be matched. Orders to buy shares at or above the opening price and orders to sell shares at or below the opening price will participate in the opening transaction. Nasdaq, in administering this opening auction process, is responsible for managing the price discovery and execution mechanics in accordance with its rules to facilitate a fair and orderly market at the start of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has indicated to the Company that, for purposes of its listing qualification analysis, it is using a qualification price of $12.36 per share, derived from the lower end of Nasdaq’s determination of the Company’s valuation range, together with the total number of issued and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qualification price is not the public offering price, does not represent a price established by the Company for sale of shares, and does not represent the price at which the Company’s Ordinary Shares will necessarily begin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approves the listing application and the Company’s Ordinary Shares begin trading, the opening public price will be determined by buy and sell orders collected in Nasdaq’s opening auction process and may differ materially from the $12.36 qualification price and from any other valuation reference used for listing qualification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the opening trading price will equal or exceed the $12.36 qualification price, management’s expected opening price assumption, or any other valuation reference considered in connection with Nasdaq’s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Revere Securities LLC (“Revere”) as our corporate advisor and our Lead Market Maker (“LMM”) in connection with this direct listing. Revere will facilitate interactions with market participants and will assist Nasdaq in the price-discovery process during the opening auction.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Listing enables all of our existing shareholders to have their Ordinary Shares registered for resale under Rule 415 on a continuous basis. Registered Shareholders may or may not elect to sell shares following the effectiveness of this Registration Statement and the commencement of trading on Nasdaq. Any such sales will be conducted through ordinary brokerage transactions at prevailing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to list our Ordinary Shares on the Nasdaq Global Market under the ticker symbol “DAVI.” No assurance can be given that our application will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f1_020"/>
      <w:bookmarkEnd w:id="4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25,00,000 Ordinary Shares by the registered shareholders identified herein, in connection with the direct listing on the Nasdaq Global Market. All of these Ordinary Shares are already recorded in our register of members maintained by our registrar. The Registered Shareholders may, but are not required to, elect to sell some or all of their Ordinary Shares from time to time after this Registration Statement is declared effective by the Securities and Exchange Commission. Any such sales, if made, will be conducted through brokerage transactions at prevailing market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does not register any primary offering by us and we are not selling any securities in this Registration Statement, and will not receive any proceeds from the sale of Ordinary Shares by the Registered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offering any securities and will not receive any proceeds from the sale of Ordinary Shares by the registered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Revere Securities LLC as its listing advisor and corporate advisor in connection with its proposed direct listing on the Nasdaq Global Market. Revere has also been appointed to act as the Company’s lead market maker, subject to applicable Nasdaq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engaged Maxim Group LLC as a non-exclusive financial advisor to provide general financial advisory and investment banking services, including advice on capital markets strategy and potential financing alternatives.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Neither Revere nor Maxim is acting as an underwriter with respect to the registration or resale of the Company’s Ordinary Shares, and this direct listing does not involve a firm commitment underwriting.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commencement of trading, sales of Ordinary Shares by registered shareholders will be made through ordinary brokerage transactions on the Nasdaq Global Market at prevailing market prices or otherwise in accordance with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firstLine="36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selling shareholders will bear all brokerage commissions in respect of their trades.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confirms that it is not part of order matching, bookbuilding, or stabilization.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Resales by affiliates remain subject to 90-day lock-in from listing day and also subject to Rule 144 even though shares are registered.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Price Support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price stabilization activities are expected to be undertaken in connection with this direct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Controlled Opening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will collect buy and sell orders prior to the commencement of trading and will determine the opening price in accordance with its rules and procedures. Trading will commence only when the exchange determines that orderly market conditions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 and Trading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the listing and commencement of trading of its Ordinary Shares are subject to the rules, procedures, and discretion of the applicable exchange. The Company will cooperate fully with the exchange and comply with all applicable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any agreements, arrangements, or understandings with any broker, dealer, shareholder, or other person to determine or control the timing, amount, or price of any sales of its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8" w:name="pos_007"/>
      <w:bookmarkEnd w:id="48"/>
      <w:r>
        <w:rPr>
          <w:rFonts w:ascii="Times New Roman;Times;Serif" w:hAnsi="Times New Roman;Times;Serif"/>
          <w:b/>
          <w:i w:val="false"/>
          <w:caps w:val="false"/>
          <w:smallCaps w:val="false"/>
          <w:sz w:val="20"/>
        </w:rPr>
        <w:t>NOT AN OFFERING; NO SOLICITATION OF SHAREHOLDER SALES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constitute an offer of securities by the Company. We are not conducting a primary offering and will not receive any proceeds from the sale of shares by Registered Shareholders. We are not asking any shareholder to sell shares, and we are not recommending, encouraging, soliciting, or advising any shareholder with respect to the resale of Ordinary Shares. All decisions regarding whether, when, and how many shares to sell are made solely by each selling shareholder, independently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Ordinary Shares covered by this prospectus are already legally issued and fully paid in accordance with the laws of Ireland, they will become eligible for electronic settlement and trading in the United States only after this Registration Statement has been declared effective by the Securities and Exchange Commission and the shares have been made eligible for deposit with The Depository Trust Company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shareholders, including our directors, executive officers and other affiliates, as well as non-affiliates, may sell their Ordinary Shares from time to time after the effectiveness of this Registration Statement, subject to applicable securities laws, including the requirements of Rule 144 under the Securities Act with respect to shares held by our affiliates. Sales of our Ordinary Shares may be made through the Nasdaq Global Market or any other available trading market, in privately negotiated transactions, or otherwise, at prevailing market prices or at negotiated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and the opening trading price of our Ordinary Shares on the Nasdaq Global Market will be determined by buy and sell orders collected and matched by the designated market maker in consultation with Nasdaq, consistent with applicable rules of the exchange. Existing shareholders who wish to sell their Ordinary Shares may do so by instructing their brokers to enter sell orders on the opening day of trading. The availability of shares offered for sale by our existing shareholders will determine the supply of our Ordinary Shares in the opening auction, which together with investor demand will establish the initial trading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our Ordinary Shares are listed on the Nasdaq Global Market, sales may occur at prevailing market prices, at fixed prices, at prices related to the market price, at negotiated prices, or by any other lawful method. Sales may be effected through ordinary brokerage transactions, block trades, transactions in which brokers may act as principal and resell such shares, or otherwise. Brokers and dealers engaged by shareholders may receive commissions or discounts from such shareholders (and, if they act as agent for the purchaser of such shares, from such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will permit our Ordinary Shares to begin trading only after confirming that we satisfy all applicable initial listing requirements of The Nasdaq Global Market and after conducting the Nasdaq opening auction. We believe that we meet, or will meet prior to the commencement of trading, all applicable initial listing standards; however, Nasdaq retains discretion with respect to the application and interpretation of its listing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Market Maker, Revere Securities LLC, who is also our Direct Listing advisor, acting pursuant to its obligations under the rules of the Nasdaq, is responsible for facilitating an orderly market for our Ordinary Shares. Based on information provided by the Nasdaq, the opening public price of our Ordinary Shares on the Nasdaq will be determined by buy and sell orders collected by the Nasdaq from various broker-dealers and will be set based on the Lead Market Maker’s determination of where buy orders can be matched with sell orders at a single price. On the Nasdaq, buy orders priced equal to or higher than the opening public price and sell orders priced lower than or equal to the opening public price will participate in that opening trade.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rules because there has not been a recent sustained history of trading in our Ordinary Shares in a private placement market prior to listing, Nasdaq will facilitate an orderly auction without coordination with us, consistent with the federal securities laws in connection with our direct listing. Pursuant to such Nasdaq rules, and based upon information known to it at that time, Revere is expected to provide input and understanding of the ownership of our outstanding Ordinary Shares and pre-listing selling and buying interest in our Ordinary Shares that it becomes aware of from potential investors and holders of our Ordinary Shares, in each case, without coordination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Affiliates of our Company (including our directors, and executive officers) will be subject to limitations under Rule 144, including volume and manner-of-sale restrictions, and have also agreed collectively, to a ninety-day lock-in from the first day of trading, even though their shares are registered pursuant to this Registration Statement. Non-affiliates will not be subject to such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by Registered Shareholders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Shareholders may sell their Ordinary Shares:</w:t>
      </w:r>
    </w:p>
    <w:p>
      <w:pPr>
        <w:pStyle w:val="TextBody"/>
        <w:bidi w:val="0"/>
        <w:ind w:left="0" w:right="0" w:firstLine="36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12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broker-dealers,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prevailing market prices,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block trades,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ordinary brokerage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negotiated transactions,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any manner permitted by law.</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Revere Securities LLC (“Advisor”), as our direct listing advisor and corporate advisor, to advise and assist us with respect to certain matters relating to the Direct Listing. The services expected to be performed by the Advisor will include providing advice and assistance with respect to defining objectives, analyzing, structuring and planning the Direct Listing and developing, assisting with our investor communication strategy in relation to the Direct Listing and soliciting and managing offers from third parties. In connection with its engagement, revere Securities LLC will receive an equity fee of 0.5% Equity of the Company at the time of Direct Listing (125,000 Ordinary Shares), to be included in the next resale registration statement or pursuant to Rule 144, whichever occurs earlier; and will be entitled to a fee of $200,000 upon the successful consummation of the Direct Listing. The Advisor will also be entitled to an expense reimbursement for all expenses for travel and other out-of-pocket expenses incurred in connection with the Advisor’s engagement not to exceed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Direct Listing services provided by the Advisor to us in connection with the listing of our securities, neither the Advisor nor any affiliates of the Advisor have provided services of any kind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appointed VStock Transfer, LLC as its transfer agent and registrar in the United States. VStock will also handle coordination with the Depository Trust Company (DTC) and Cede &amp; Co. for electronic trading and settlement of our Ordinary Shares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Maker Inability to Stabilize</w:t>
      </w:r>
    </w:p>
    <w:p>
      <w:pPr>
        <w:pStyle w:val="TextBody"/>
        <w:bidi w:val="0"/>
        <w:ind w:left="0" w:right="0" w:firstLine="360"/>
        <w:jc w:val="both"/>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38"/>
        <w:gridCol w:w="125"/>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market maker cannot support, cannot stabilize, cannot maintain the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operate ONLY under Nasdaq’s market-making rules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They cannot coordinate with management or shareholders</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DTC Eligibility Process Timeline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F-1A filed on November 7 2025, which became effective on November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2025, the Company at that time filed with the SEC an 8-A, and at the same time made application to DTC for registration of its Ordinary Shares. This process is being managed by our listing advisor, Revere Securities LLC and linked with our Transfer Agents Vstock Transfer LLC who are DWAC and FAST status registered. We expect DTC acceptance within the next 7/10 days, which will allow our transfer agent to populate our share register. There is though no guarantee of timing.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i w:val="false"/>
          <w:caps w:val="false"/>
          <w:smallCaps w:val="false"/>
          <w:sz w:val="20"/>
        </w:rPr>
      </w:pPr>
      <w:bookmarkStart w:id="49" w:name="pos_80"/>
      <w:bookmarkEnd w:id="49"/>
      <w:r>
        <w:rPr>
          <w:rFonts w:ascii="Times New Roman;Times;Serif" w:hAnsi="Times New Roman;Times;Serif"/>
          <w:b/>
          <w:i w:val="false"/>
          <w:caps w:val="false"/>
          <w:smallCaps w:val="false"/>
          <w:sz w:val="20"/>
        </w:rPr>
        <w:t>REFERENCE PRICE DETERMINATION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application to list its Ordinary Shares on the Nasdaq Global Market, the Company provided Nasdaq with valuation materials in accordance with Nasdaq Listing Rule IM-5315-1. These materials included valuation materials prepared by the Company, supporting third-party valuation materials prepared for the Company, and evidence of recent private transactions in the Company’s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these materials, the Company provided Nasdaq with information regarding approximately 215 private, off-market transactions in its Ordinary Shares conducted by an existing shareholder during the three-month period preceding Nasdaq’s review, at prices of approximately $11.00 per share, including transactions originally denominated in euro and converted into U.S. dollars . These transactions were conducted on a negotiated, private basis between shareholders and third-party investors and are not indicative of the price at which the Company’s Ordinary Shares will trade in a public market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reviewed these materials for the limited purpose of assessing whether the Company satisfies its initial listing requirements, including the requirement to demonstrate a valuation-based bid price or market value of publicly held shares. Based on this review, Nasdaq has indicated to the Company that it is using a qualification price of $12.36 per share for listing qualification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did not prepare an independent valuation report and based its qualification price determination on its review of valuation materials provided by the Company in accordance with its listing rules. The qualification price should not be interpreted as a determination of value or as an indication of the price at which the Company’s Ordinary Shares will trade.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opening price of the Company’s Ordinary Shares will be determined by Nasdaq’s opening auction process based solely on buy and sell orders submitted by market participants.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reference price therefore:</w:t>
      </w:r>
    </w:p>
    <w:p>
      <w:pPr>
        <w:pStyle w:val="TextBody"/>
        <w:bidi w:val="0"/>
        <w:spacing w:before="0" w:after="0"/>
        <w:ind w:left="0" w:right="0" w:firstLine="36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1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 not an estimate of fair market value;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 not a valuation of the Company;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 not a target trading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differ significantly from the opening auction price;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bear no relationship to the subsequent trading prices of our Ordinary Shares.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Support of the Reference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our corporate advisor, or financial advisor, nor our designated market maker will take any action to determine or control, stabilize, support, or otherwise affect the reference price or the opening auction price. No person has been appointed or engaged to purchase shares to stabilize or maintain the price, and no price-support arrangements, formal or informal, exist for the direct listing.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aspects of reference price determination are controlled exclusively by Nasdaq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our corporate advisor, or financial advisor, nor our designated market maker has any authority or involvement in determining the reference price. We do not propose a price range, we do not set a valuation, and we do not determine or control the reference price in any way. Nasdaq has indicated to the Company, based on the above process, a reference price of $12.36.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will permit our Ordinary Shares to begin trading only after it has completed its listing review, confirmed that we satisfy all applicable initial listing requirements of The Nasdaq Global Market, and completed the opening auction. We believe we meet, or will meet before trading begins, all such requirements; however, Nasdaq retains discretion with respect to the application and interpretation of its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 Price Determination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of our Ordinary Shares will be determined exclusively through Nasdaq’s electronic opening auction process. We will not engage in bookbuilding or roadshow pricing, and this direct listing does not involve a firm commitment underwriting.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Opening Auction and Price Discovery</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trading price of our Ordinary Shares on The Nasdaq Global Market will be determined through Nasdaq’s automated opening cross auction process, in conjunction with participating market makers and broker-dealers, in accordance with Nasdaq rules. The opening cross is a price-discovery mechanism that matches aggregated buy and sell interest from market participants at a single price that maximizes the number of shares executed. Neither the Company, nor our corporate advisor, or financial advisor,, nor our lead market maker has any ability to direct, determine, control, or participate in the matching of orders in the opening cross.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Collection of Orders and Order Types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market opens for trading on the listing date, Nasdaq will begin accepting orders from broker-dealers representing their customers and other market participants. These orders may include:</w:t>
      </w:r>
    </w:p>
    <w:p>
      <w:pPr>
        <w:pStyle w:val="TextBody"/>
        <w:bidi w:val="0"/>
        <w:ind w:left="0" w:right="0" w:firstLine="360"/>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125"/>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Market Orders – orders to buy or sell at the best available price in the opening auction;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Limit Orders – orders to buy or sell at a specified price or better;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Imbalance-Only Orders – orders eligible to execute only against the imbalance in the auction;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Early Market Hours Orders entered during pre-market trading.</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orders destined for the opening cross must be submitted within designated cut-off times established by Nasdaq.</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Pre-Auction Messages and Indicative Pricing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pre-market period and leading up to the execution of the opening cross, Nasdaq disseminates price and imbalance information at regular intervals. These messages may include:</w:t>
      </w:r>
    </w:p>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Indicative Clearing Price – the price at which the maximum number of shares can be executed based on current supply and demand;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Order Imbalance Indicators – showing whether more buy or sell interest exists;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Paired and Imbalance Shares – the number of shares matched and unmatched at the indicative price.</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indications may fluctuate significantly based on the evolving order book. The Company has no visibility into, and no ability to determine or exert control over such indications.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the Opening Price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opening auction, Nasdaq’s matching engine evaluates all executable buy and sell orders and determines the opening price according to Nasdaq’s established rules, which aim to:</w:t>
      </w:r>
    </w:p>
    <w:p>
      <w:pPr>
        <w:pStyle w:val="TextBody"/>
        <w:bidi w:val="0"/>
        <w:ind w:left="0" w:right="0" w:firstLine="36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125"/>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maximize the number of shares executed;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3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minimize imbalance;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3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provide price continuity consistent with market demand.</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is derived entirely from supply and demand reflected in the Nasdaq auction book and may differ significantly from:</w:t>
      </w:r>
    </w:p>
    <w:p>
      <w:pPr>
        <w:pStyle w:val="TextBody"/>
        <w:bidi w:val="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25"/>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reference price set by Nasdaq prior to the auction,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indicative clearing price shown prior to the cross,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last private sale of Ordinary Shares,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subsequent intraday trading prices.</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of the Opening Cross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auction price is calculated, Nasdaq executes the opening cross: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pPr>
            <w:r>
              <w:rPr/>
              <w:t>1.</w:t>
            </w:r>
          </w:p>
        </w:tc>
        <w:tc>
          <w:tcPr>
            <w:tcW w:w="9972" w:type="dxa"/>
            <w:tcBorders/>
            <w:vAlign w:val="center"/>
          </w:tcPr>
          <w:p>
            <w:pPr>
              <w:pStyle w:val="TableContents"/>
              <w:bidi w:val="0"/>
              <w:spacing w:before="0" w:after="283"/>
              <w:jc w:val="both"/>
              <w:rPr/>
            </w:pPr>
            <w:r>
              <w:rPr/>
              <w:t>All matched buy and sell orders are executed at the single auction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pPr>
            <w:r>
              <w:rPr/>
              <w:t>2.</w:t>
            </w:r>
          </w:p>
        </w:tc>
        <w:tc>
          <w:tcPr>
            <w:tcW w:w="9972" w:type="dxa"/>
            <w:tcBorders/>
            <w:vAlign w:val="center"/>
          </w:tcPr>
          <w:p>
            <w:pPr>
              <w:pStyle w:val="TableContents"/>
              <w:bidi w:val="0"/>
              <w:spacing w:before="0" w:after="283"/>
              <w:jc w:val="both"/>
              <w:rPr/>
            </w:pPr>
            <w:r>
              <w:rPr/>
              <w:t>Executed transactions are published to the consolidated tape;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pPr>
            <w:r>
              <w:rPr/>
              <w:t>3.</w:t>
            </w:r>
          </w:p>
        </w:tc>
        <w:tc>
          <w:tcPr>
            <w:tcW w:w="9972" w:type="dxa"/>
            <w:tcBorders/>
            <w:vAlign w:val="center"/>
          </w:tcPr>
          <w:p>
            <w:pPr>
              <w:pStyle w:val="TableContents"/>
              <w:bidi w:val="0"/>
              <w:spacing w:before="0" w:after="283"/>
              <w:jc w:val="both"/>
              <w:rPr/>
            </w:pPr>
            <w:r>
              <w:rPr/>
              <w:t>The opening price becomes the first sale price of our Ordinary Shares in the public market;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both"/>
              <w:rPr/>
            </w:pPr>
            <w:r>
              <w:rPr/>
              <w:t>4.</w:t>
            </w:r>
          </w:p>
        </w:tc>
        <w:tc>
          <w:tcPr>
            <w:tcW w:w="9972" w:type="dxa"/>
            <w:tcBorders/>
            <w:vAlign w:val="center"/>
          </w:tcPr>
          <w:p>
            <w:pPr>
              <w:pStyle w:val="TableContents"/>
              <w:bidi w:val="0"/>
              <w:spacing w:before="0" w:after="283"/>
              <w:jc w:val="both"/>
              <w:rPr/>
            </w:pPr>
            <w:r>
              <w:rPr/>
              <w:t>Any unexecuted limit orders may be entered into the continuous trading book unless cancelled by the participant.</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opening cross, our Ordinary Shares will trade on Nasdaq under the symbol “</w:t>
      </w:r>
      <w:r>
        <w:rPr>
          <w:rFonts w:ascii="Times New Roman;Times;Serif" w:hAnsi="Times New Roman;Times;Serif"/>
          <w:b/>
          <w:i w:val="false"/>
          <w:caps w:val="false"/>
          <w:smallCaps w:val="false"/>
          <w:sz w:val="20"/>
        </w:rPr>
        <w:t>DAVI”</w:t>
      </w:r>
      <w:r>
        <w:rPr>
          <w:rFonts w:ascii="Times New Roman;Times;Serif" w:hAnsi="Times New Roman;Times;Serif"/>
          <w:b w:val="false"/>
          <w:i w:val="false"/>
          <w:caps w:val="false"/>
          <w:smallCaps w:val="false"/>
          <w:sz w:val="20"/>
        </w:rPr>
        <w:t xml:space="preserve"> through regular continuous trading.</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Visibility Into Order Book</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access to any pre-opening order book data, including:</w:t>
      </w:r>
    </w:p>
    <w:p>
      <w:pPr>
        <w:pStyle w:val="TextBody"/>
        <w:bidi w:val="0"/>
        <w:ind w:left="0" w:right="0" w:firstLine="36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25"/>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indicative clearing prices;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imbalance messages;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paired share quantities;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uncrossed volume;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auction-time order flow.</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officers, directors, employees, corporate advisor, financial advisor, and designated market maker:</w:t>
      </w:r>
    </w:p>
    <w:p>
      <w:pPr>
        <w:pStyle w:val="TextBody"/>
        <w:bidi w:val="0"/>
        <w:spacing w:before="0" w:after="0"/>
        <w:ind w:left="0" w:right="0" w:firstLine="36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1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submit orders;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determine or control the opening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provide pricing guidance;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stabilize or support the auction;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have insight into the auction order book.</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auction process is operated solely by Nasdaq according to its own rules and methodologies. Nasdaq does not provide such information to the Company, our corporate advisor, financial advisor, or the designated market maker.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for Price Volatility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opening price results exclusively from the Nasdaq auction process, it may be subject to significant volatility and may differ materially from the reference price or from subsequent trading prices. The volume of share availability, the number of participating sellers, and the degree of pre-market buy interest may all affect the opening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opening auction is complete, trading in our Ordinary Shares will begin on Nasdaq under the symbol “</w:t>
      </w:r>
      <w:r>
        <w:rPr>
          <w:rFonts w:ascii="Times New Roman;Times;Serif" w:hAnsi="Times New Roman;Times;Serif"/>
          <w:b/>
          <w:i w:val="false"/>
          <w:caps w:val="false"/>
          <w:smallCaps w:val="false"/>
          <w:sz w:val="20"/>
        </w:rPr>
        <w:t>DAVI.”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Corporate Advisor/Lead Market Maker and the Role of the Financial advisor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Revere Securities LLC as its corporate advisor (to include the listing process) and lead market maker in connection with the proposed direct listing of its Ordinary Shares on the Nasdaq Global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capacity, Revere assists the Company in preparing for listing, coordinating with professional advisors, and supporting the overall listing process. Revere, in its role as lead market maker, will provide continuous quotations following the commencement of trading and will perform functions required under Nasdaq rules in connection with the opening of trading.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Maxim Group LLC as its financial advisor, to assist the Company in ensuring it develops a strong financial base in which to operate.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commencement of trading, Nasdaq will determine a reference price and conduct an opening auction in accordance with its rules. Revere will participate in this process in accordance with Nasdaq Rule 4120(c)(9), including confirming readiness for trading and interacting with Nasdaq systems as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neither the Company nor its corporate advisor or financial advisor determines or controls the opening price. The opening price will be established solely by Nasdaq’s opening auction process based on buy and sell orders submitted by market participants.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direct listing does not involve a firm commitment underwriting.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advisor, financial advisor, Lead Market Maker are not underwriting our direct listing. They do not:</w:t>
      </w:r>
    </w:p>
    <w:p>
      <w:pPr>
        <w:pStyle w:val="TextBody"/>
        <w:bidi w:val="0"/>
        <w:spacing w:before="0" w:after="0"/>
        <w:ind w:left="0" w:right="0" w:firstLine="36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1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shares from the Company or from selling shareholders;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distribute or allocate shares to investors;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 market, or sell shares to the public;</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bookbuilding or generate investor demand;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negotiate an offering price or valuation;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 the execution or completion of the direct listing;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 any obligation to purchase unsold shares.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firm commitment underwriter, broker-dealer, or other intermediary has been engaged to conduct any offering activities on behalf of the Company in respect of this direct listing.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Price Setting or Valuation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advisor or financial advisor does not determine or control:</w:t>
      </w:r>
    </w:p>
    <w:p>
      <w:pPr>
        <w:pStyle w:val="TextBody"/>
        <w:bidi w:val="0"/>
        <w:spacing w:before="0" w:after="0"/>
        <w:ind w:left="0" w:right="0" w:firstLine="36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125"/>
        <w:gridCol w:w="561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6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opening price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reference price set by Nasdaq,</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opening auction price,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price at which our Ordinary Shares may trade in the open market.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advisor or financial advisor does not provide valuation reports, fairness opinions, or pricing guidance to the Company, to Nasdaq, or to market participants, and plays no role in the price-discovery process.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Stabilization or Price Support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corporate advisor or financial advisor nor the Lead Market Maker engages in stabilization or price-support activities of any kind. In particular, they:</w:t>
      </w:r>
    </w:p>
    <w:p>
      <w:pPr>
        <w:pStyle w:val="TextBody"/>
        <w:bidi w:val="0"/>
        <w:spacing w:before="0" w:after="0"/>
        <w:ind w:left="0" w:right="0" w:firstLine="36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1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engage in after-market stabilization;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maintain, peg, or support the price of our Ordinary Shares;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enter bids does not determine or control trading levels;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coordinate or manage trading interest;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receive or execute discretionary orders from the Company or selling shareholders;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not conduct short-covering or syndicate-related activities.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stabilization agent has been appointed by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Lead Market Maker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requires a Lead Market Maker for direct listings to help ensure orderly trading. The Lead Market Maker’s function includes:</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1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maintaining fair and orderly markets during normal trading;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supporting the technical functioning of the Nasdaq opening auction;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disseminating required market data during the opening cross;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handling auction-related administrative functions.</w:t>
            </w:r>
          </w:p>
        </w:tc>
      </w:tr>
    </w:tbl>
    <w:p>
      <w:pPr>
        <w:pStyle w:val="TextBody"/>
        <w:bidi w:val="0"/>
        <w:spacing w:before="0" w:after="0"/>
        <w:ind w:left="694"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Lead Market Maker does not:</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1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 recommend, or determine, or control the reference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determine or control the auction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 or sell shares to stabilize the opening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 liquidity guarantees;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 as a principal or agent for the Company or any shareholder.</w:t>
            </w:r>
          </w:p>
        </w:tc>
      </w:tr>
    </w:tbl>
    <w:p>
      <w:pPr>
        <w:pStyle w:val="TextBody"/>
        <w:bidi w:val="0"/>
        <w:spacing w:before="0" w:after="0"/>
        <w:ind w:left="694"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Market Maker receives no placement fee, underwriting discount, or commission from the Company in connection with the direct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Advisory Role in Shareholder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advisor or financial advisor does not advise selling shareholders on:</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1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when, or how many shares to sell;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price at which they may sell;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order submission strategies;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post-listing trading execution.</w:t>
            </w:r>
          </w:p>
        </w:tc>
      </w:tr>
    </w:tbl>
    <w:p>
      <w:pPr>
        <w:pStyle w:val="TextBody"/>
        <w:bidi w:val="0"/>
        <w:spacing w:before="0" w:after="0"/>
        <w:ind w:left="695"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in the public market will occur directly through broker-dealers selected by selling shareholders, unrelated to the advisor or Lead Market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From Order Book and Auction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advisor, financial advisor and Lead Market Maker have no visibility into the pre-opening auction order book, including:</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110"/>
        <w:gridCol w:w="2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pricing information,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imbalance data,</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indicative clearing prices,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 and sell interest,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matched or unmatched volume.</w:t>
            </w:r>
          </w:p>
        </w:tc>
      </w:tr>
    </w:tbl>
    <w:p>
      <w:pPr>
        <w:pStyle w:val="TextBody"/>
        <w:bidi w:val="0"/>
        <w:spacing w:before="0" w:after="0"/>
        <w:ind w:left="380" w:right="362" w:firstLine="315"/>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cannot determine or control the opening price or monitor auction inputs. Nasdaq administers the auction independently and does not share data with the Company, its advisor, or the Lead Market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the Lead Market Maker does not set the opening price and does not perform stabilization in the aftermarket.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Trading on the First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shares available for resale on the first day of trading will depend on:</w:t>
      </w:r>
    </w:p>
    <w:p>
      <w:pPr>
        <w:pStyle w:val="TextBody"/>
        <w:bidi w:val="0"/>
        <w:spacing w:before="0" w:after="0"/>
        <w:ind w:left="0" w:right="0" w:firstLine="36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1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which shareholders choose to sell</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timing of their sales,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prevailing market demand,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participation of shareholders who have entered voluntary orderly market agreements with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as to the level of liquidity, the volatility of the market price, or the extent of market demand on the first day of trading or thereafter. The opening auction price may differ significantly from the reference price, and subsequent trading prices may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Revere, as Lead Market Maker, will:</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1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enter two-sided quotes,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coordinate with Nasdaq on auction mechanics,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help manage order imbalances,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 a fair and orderly market.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With Nasdaq’s Auction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opening auction: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 orders and sell orders accumulate;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Revere may observe publicly disseminated Nasdaq auction imbalance information, where available, but does not receive non-public order book data and does not determine or control the opening price formation;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reviews price collars;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necessary, Revere may call for a price collar extension;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cross-matches all orders at a single price.</w:t>
            </w:r>
          </w:p>
        </w:tc>
      </w:tr>
    </w:tbl>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380" w:right="0" w:hanging="0"/>
        <w:jc w:val="left"/>
        <w:rPr>
          <w:caps w:val="false"/>
          <w:smallCaps w:val="false"/>
        </w:rPr>
      </w:pPr>
      <w:r>
        <w:rPr>
          <w:caps w:val="false"/>
          <w:smallCaps w:val="false"/>
        </w:rPr>
        <w:t> </w:t>
      </w:r>
    </w:p>
    <w:p>
      <w:pPr>
        <w:pStyle w:val="TextBody"/>
        <w:bidi w:val="0"/>
        <w:spacing w:before="0" w:after="0"/>
        <w:ind w:left="38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8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Broker-Dealer Handling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charge commissions to Registered Shareholders who sell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also purchase shares as principal, but we are not involved in these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Affiliates remain subject to:</w:t>
      </w:r>
    </w:p>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25"/>
        <w:gridCol w:w="28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55" w:type="dxa"/>
            <w:tcBorders/>
            <w:vAlign w:val="center"/>
          </w:tcPr>
          <w:p>
            <w:pPr>
              <w:pStyle w:val="TableContents"/>
              <w:bidi w:val="0"/>
              <w:spacing w:before="0" w:after="283"/>
              <w:jc w:val="left"/>
              <w:rPr/>
            </w:pPr>
            <w:r>
              <w:rPr/>
              <w:t>volume restrictions,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55" w:type="dxa"/>
            <w:tcBorders/>
            <w:vAlign w:val="center"/>
          </w:tcPr>
          <w:p>
            <w:pPr>
              <w:pStyle w:val="TableContents"/>
              <w:bidi w:val="0"/>
              <w:spacing w:before="0" w:after="283"/>
              <w:jc w:val="left"/>
              <w:rPr/>
            </w:pPr>
            <w:r>
              <w:rPr/>
              <w:t>manner-of-sale rules, and</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55" w:type="dxa"/>
            <w:tcBorders/>
            <w:vAlign w:val="center"/>
          </w:tcPr>
          <w:p>
            <w:pPr>
              <w:pStyle w:val="TableContents"/>
              <w:bidi w:val="0"/>
              <w:spacing w:before="0" w:after="283"/>
              <w:jc w:val="left"/>
              <w:rPr/>
            </w:pPr>
            <w:r>
              <w:rPr/>
              <w:t>Form 144 filing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Non-affiliates may sell freely.</w:t>
      </w:r>
    </w:p>
    <w:p>
      <w:pPr>
        <w:pStyle w:val="TextBody"/>
        <w:bidi w:val="0"/>
        <w:ind w:left="0" w:right="0" w:firstLine="36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Orderly Market Agreements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direct listing, we invited our existing shareholders holding more than 999 Ordinary Shares to enter into voluntary orderly market agreements with the Company. These agreements were designed to promote orderly trading during the first six months following the commencement of trading of our Ordinary Shares on The Nasdaq Global Market.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these orderly market agreements is entirely voluntary, and the Company has not required any shareholder to enter into such agreements as a condition to the direct listing or for any other purpose.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Voluntary Orderly Market Restrictions</w:t>
      </w:r>
    </w:p>
    <w:p>
      <w:pPr>
        <w:pStyle w:val="TextBody"/>
        <w:bidi w:val="0"/>
        <w:jc w:val="both"/>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elected to participate have agreed that, for a period of 180 days following the commencement of trading: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their aggregate daily sales of Ordinary Shares will not exceed 5% of the Average Daily Trading Volume (“ADV”) of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 will be calculated based on the preceding five trading days,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sale limit applies only on days when they choose to sell, and does not obligate them to sell at any time.</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voluntary restrictions were adopted by participating shareholders to help reduce the likelihood of significant price dislocation during the early stages of trading.</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Majority Participation Among Larger Shareholders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shareholders holding more than 999 Ordinary Shares have voluntarily elected to enter into these orderly market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Company has 25,000,000 issued and outstanding Ordinary Shares. Of these shares, approximately 4,894,287 Ordinary Shares, representing approximately 19.6% of the Company’s issued and outstanding Ordinary Shares, are held by shareholders who have voluntarily entered into orderly market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approximately 11,485,948 Ordinary Shares, representing approximately 45.9% of the Company’s issued and outstanding Ordinary Shares, are held by directors and/or affiliates and are therefore subject to the resale limitations of Rule 144 under the Securities Act, as well as a 90-day voluntary lock-up period beginning on the first day of trading of the Company’s Ordinary Shares. The remaining 8,619,765 (approximately 34.5%) Ordinary Shares are not subject to voluntary orderly market agreements or the Company’s voluntary director lock-up and may be sold in the public market, subject to applicable securities laws and any contractual or regulatory restrictions that may apply to individual shareholders.</w:t>
      </w:r>
    </w:p>
    <w:p>
      <w:pPr>
        <w:pStyle w:val="TextBody"/>
        <w:bidi w:val="0"/>
        <w:jc w:val="both"/>
        <w:rPr>
          <w:caps w:val="false"/>
          <w:smallCaps w:val="false"/>
        </w:rPr>
      </w:pPr>
      <w:r>
        <w:rPr>
          <w:caps w:val="false"/>
          <w:smallCaps w:val="false"/>
        </w:rPr>
        <w:t> </w:t>
      </w:r>
    </w:p>
    <w:p>
      <w:pPr>
        <w:pStyle w:val="TextBody"/>
        <w:bidi w:val="0"/>
        <w:jc w:val="both"/>
        <w:rPr/>
      </w:pPr>
      <w:r>
        <w:rPr/>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all eligible shareholders have entered into such agreements. Sales by shareholders who have not signed an orderly market agreement are not restricted by the voluntary limitations described above, subject to applicable securities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Exempt from the Program</w:t>
      </w:r>
    </w:p>
    <w:p>
      <w:pPr>
        <w:pStyle w:val="TextBody"/>
        <w:bidi w:val="0"/>
        <w:jc w:val="both"/>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voluntary orderly market agreements:</w:t>
      </w:r>
    </w:p>
    <w:p>
      <w:pPr>
        <w:pStyle w:val="TextBody"/>
        <w:bidi w:val="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25"/>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 not apply to shareholders holding 999 Ordinary Shares or fewer,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 not apply to investors who acquire our Ordinary Shares in the public market after the direct listing,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 not apply to shareholders who chose not to sign such agreements.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Has No Enforcement Obligations</w:t>
      </w:r>
    </w:p>
    <w:p>
      <w:pPr>
        <w:pStyle w:val="TextBody"/>
        <w:bidi w:val="0"/>
        <w:jc w:val="both"/>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p>
      <w:pPr>
        <w:pStyle w:val="TextBody"/>
        <w:bidi w:val="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12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monitor, enforce, or supervise compliance with these voluntary agreements;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direct, restrict, or control the trading activity of participating shareholders;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coordinate order flow or trading instructions;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provide execution advice or assistance;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impose penalties or trading conditions on non-participating shareholders.</w:t>
            </w:r>
          </w:p>
        </w:tc>
      </w:tr>
    </w:tbl>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participating shareholder breaches their voluntary agreement, the Company does not have authority to restrict their ability to sell Ordinary Shares in the public market.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Effect on Nasdaq Auction Process or Opening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voluntary orderly market agreements:</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11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apply to the Nasdaq opening auction;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affect the reference price or opening auction price;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determine or control the supply and demand used by Nasdaq in the opening cross;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impose any constraints on Nasdaq’s execution of the opening auction.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opening price determination is carried out solely by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Firm Commitment Underwriting or Stabilization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voluntary orderly market agreements do not:</w:t>
      </w:r>
    </w:p>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11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constitute a lock-up agreement required by the Company;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constitute stabilization, manipulation, or artificial price support;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 any underwriter-like role for the Company or any advisor;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sales by non-participating shareholders or new investors.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were entered into independently by participating shareholders and are not intended to impact the natural functioning of Nasdaq’s trading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demonstrating compliance with Nasdaq’s initial listing rules, we have used an expected opening reference price of $12.00 per share solely for internal listing analysis purposes. This reference price is illustrative only and should not be relied upon for any investment decision. It does not represent an offering price, valuation, or guidance for investors. The actual Opening Price may differ materially.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i w:val="false"/>
          <w:caps w:val="false"/>
          <w:smallCaps w:val="false"/>
          <w:sz w:val="20"/>
        </w:rPr>
      </w:pPr>
      <w:bookmarkStart w:id="50" w:name="pos_009"/>
      <w:bookmarkEnd w:id="50"/>
      <w:r>
        <w:rPr>
          <w:rFonts w:ascii="Times New Roman;Times;Serif" w:hAnsi="Times New Roman;Times;Serif"/>
          <w:b/>
          <w:i w:val="false"/>
          <w:caps w:val="false"/>
          <w:smallCaps w:val="false"/>
          <w:sz w:val="20"/>
        </w:rPr>
        <w:t>ROLES OF THE CORPORATE ADVISOR, LEAD MARKET MAKER and FINANCIAL ADVISOR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Revere Securities LLC as its listing advisor in connection with the proposed direct listing of its Ordinary Shares on the Nasdaq Global Market. Revere has also been appointed to act as the Company’s lead market maker, subject to applicable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capacity, Revere assists the Company in preparing for listing, coordinating with legal counsel, auditors and other professional advisors, and supporting the overall listing process. Revere, in its role as lead market maker, will provide continuous quotations following the commencement of trading and will perform functions required under Nasdaq rules in connection with the opening of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engaged Maxim Group LLC as a non-exclusive financial advisor. Maxim provides general financial advisory and investment banking services, including advice on strategic planning, capital structure, potential financing alternatives, and investor positioning. Maxim is not involved in the execution of the direct listing process or in the opening auction.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commencement of trading, Nasdaq will determine a reference price and conduct an opening auction in accordance with its rules. The opening price will be established based on buy and sell orders submitted by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Revere, as lead market maker, will participate in the Nasdaq opening process in accordance with Nasdaq rules, including confirming readiness for trading and interacting with Nasdaq systems as required. However, neither the Company nor its advisors determine the opening price, which is established solely by Nasdaq’s auction process based on market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Neither Revere nor Maxim is acting as an underwriter in connection with the listing or the resale of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1" w:name="pos_81"/>
      <w:bookmarkEnd w:id="51"/>
      <w:r>
        <w:rPr>
          <w:rFonts w:ascii="Times New Roman;Times;Serif" w:hAnsi="Times New Roman;Times;Serif"/>
          <w:b/>
          <w:i w:val="false"/>
          <w:caps w:val="false"/>
          <w:smallCaps w:val="false"/>
          <w:sz w:val="20"/>
        </w:rPr>
        <w:t>HOW REGISTERED SHAREHOLDERS MAY SELL SHARES FOLLOWING OUR DIRECT 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trading begins, Registered Shareholders may sell their shares by:</w:t>
      </w:r>
    </w:p>
    <w:p>
      <w:pPr>
        <w:pStyle w:val="TextBody"/>
        <w:bidi w:val="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2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entering limit or market orders through their brokers;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arranging block trades;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using electronic brokerage platforms;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negotiating directly with purchasers.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may occur:</w:t>
      </w:r>
    </w:p>
    <w:p>
      <w:pPr>
        <w:pStyle w:val="TextBody"/>
        <w:bidi w:val="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2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market prices,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limit prices,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opening or closing auctions,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intraday crossing networks.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coordinate, approve, or participate in any shareholder sale.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Resales of Ordinary Shares by Existing Shareholders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the resale, on a continuous or delayed basis pursuant to Rule 415 under the Securities Act of 1933, of up to 25,000,000 Ordinary Shares by existing shareholders of the Company. We are not offering or selling any Ordinary Shares, and we will not receive any proceeds from the sale of Ordinary Shares by selling shareholders.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covered by our registration statement consist entirely of shares held by existing shareholders immediately prior to our direct listing on The Nasdaq Global Market. Shareholders may, but are not required to, sell their shares in the public market after our Ordinary Shares begin trading.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Continuous and Delayed Offering Under Rule 415</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selling shareholders may choose to sell their Ordinary Shares: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various times after our listing,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varying amounts,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that may occur over an extended period,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prices determined by prevailing market conditions,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registration statement constitutes a continuous or delayed offering under Rule 415(a)(1)(i) of the Securities Act.</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structure is customary for a direct listing and is required to permit existing shareholders to resell their shares from time to time after our Ordinary Shares become listed.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Sale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may dispose of their Ordinary Shares through any method permitted by law, including:</w:t>
      </w:r>
    </w:p>
    <w:p>
      <w:pPr>
        <w:pStyle w:val="TextBody"/>
        <w:bidi w:val="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25"/>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on The Nasdaq Global Market through broker-dealers;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transactions with market makers;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pursuant to limit orders, market orders, or other order types;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pPr>
            <w:r>
              <w:rPr/>
              <w:t>“</w:t>
            </w:r>
            <w:r>
              <w:rPr>
                <w:rFonts w:ascii="Times New Roman;Times;Serif" w:hAnsi="Times New Roman;Times;Serif"/>
              </w:rPr>
              <w:t>at-the-market” transactions to the extent permitted by law;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combination of these methods.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are responsible for making their own independent decisions regarding whether, when, and how much to sell. The Company does not provide execution advice, trading strategies, or recommendations.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Firm Commitment Underwriting or Selling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direct listing does not involve a firm commitment underwriting, broker-dealer, or selling agent engaged by the Company in connection with the resale of the Ordinary Shares. No party has agreed to purchase, distribute, or guarantee the sale of any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selling shareholder engages a broker-dealer to sell shares, the broker-dealer may be considered an “underwriter” within the meaning of the Securities Act depending on the facts and circumstances, but only in respect of the selling shareholder, not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Commissions and Expenses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will bear:</w:t>
      </w:r>
    </w:p>
    <w:p>
      <w:pPr>
        <w:pStyle w:val="TextBody"/>
        <w:bidi w:val="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125"/>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brokerage commissions,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fees of their own financial advisors,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transfer taxes,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3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expenses of sale.</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expenses associated with maintaining the effectiveness of the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Sales by Certain Shareholders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have entered into voluntary orderly market agreements have agreed to limit their sales during the 180-day period following the commencement of trading to no more than 5% of the Average Daily Trading Volume per day. These voluntary limitations apply only to those shareholders who have signed such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have not entered into orderly market agreements, including shareholders holding 999 Ordinary Shares or fewer, may sell their Ordinary Shares without such voluntary limits, subject to applicable securities laws.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listing of our Ordinary Shares: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Non-affiliates holding Ordinary Shares that were registered in our registration statement as freely tradable shares, may resell such shares without restriction under Rule 144.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Affiliates may sell shares subject to the volume, manner-of-sale, current public information, and notice requirements of Rule 144(e), (f), (c), and (h), respectively.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Independent of the Company</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sales of Ordinary Shares pursuant to this registration statement are transactions between selling shareholders and public market participants. The Company does not:</w:t>
      </w:r>
    </w:p>
    <w:p>
      <w:pPr>
        <w:pStyle w:val="TextBody"/>
        <w:bidi w:val="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1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 or negotiate sales,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advise on the timing or size of sales,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place orders on behalf of selling shareholders,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coordinate determine or control the distribution of shares, or</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 proceeds from such sales.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relating to sales are made solely by the selling shareholders and their brokers.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Education and Investor Day</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commencement of trading, we expect to engage in investor education activities consistent with Nasdaq rules applicable to direct listings. These activities may include:</w:t>
      </w:r>
    </w:p>
    <w:p>
      <w:pPr>
        <w:pStyle w:val="TextBody"/>
        <w:bidi w:val="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2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distribution of an investor presentation;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webcast or in-person “Investor Day”;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Making our senior management available for Q&amp;A;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Publication of key materials on our corporate website;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Providing detailed product and business overviews;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Ensuring investors have equal access to information.</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a traditional IPO, these activities will not involve:</w:t>
      </w:r>
    </w:p>
    <w:p>
      <w:pPr>
        <w:pStyle w:val="TextBody"/>
        <w:bidi w:val="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25"/>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3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price discussions,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3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 solicitations,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3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pre-marketing allocation.</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communications will comply with Rule 134 and Rule 134a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 w:name="f1_021"/>
      <w:bookmarkEnd w:id="5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the Law offices of David E Price with respect to certain legal matters as to United States federal securities compliance and New York State law, and in Ireland by RDJ LLP Solicitors in respect of Irish Law matters, who have both rendered opinions as required where applicable in respect of US Securities law compliance, valid issuance of Ordinary Shares, and Irish law matters including the exemption of Irish stamp Duty on Nasdaq share trades of the Company’s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has been passed upon by David E. Price, Esq., whose opinion is included as Exhibit 5.1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Ireland to take advantage of certain benefits associated with being an Ireland Company, such as:</w:t>
      </w:r>
    </w:p>
    <w:p>
      <w:pPr>
        <w:pStyle w:val="TextBody"/>
        <w:bidi w:val="0"/>
        <w:spacing w:before="0" w:after="0"/>
        <w:ind w:left="0" w:right="0" w:firstLine="36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25"/>
        <w:gridCol w:w="5000"/>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00" w:type="dxa"/>
            <w:tcBorders/>
            <w:vAlign w:val="center"/>
          </w:tcPr>
          <w:p>
            <w:pPr>
              <w:pStyle w:val="TableContents"/>
              <w:bidi w:val="0"/>
              <w:spacing w:before="0" w:after="283"/>
              <w:jc w:val="both"/>
              <w:rPr>
                <w:sz w:val="20"/>
              </w:rPr>
            </w:pPr>
            <w:r>
              <w:rPr>
                <w:sz w:val="20"/>
              </w:rPr>
              <w:t xml:space="preserve">political and economic stability;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00" w:type="dxa"/>
            <w:tcBorders/>
            <w:vAlign w:val="center"/>
          </w:tcPr>
          <w:p>
            <w:pPr>
              <w:pStyle w:val="TableContents"/>
              <w:bidi w:val="0"/>
              <w:spacing w:before="0" w:after="283"/>
              <w:jc w:val="both"/>
              <w:rPr>
                <w:sz w:val="20"/>
              </w:rPr>
            </w:pPr>
            <w:r>
              <w:rPr>
                <w:sz w:val="20"/>
              </w:rPr>
              <w:t xml:space="preserve">an effective judicial system;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00" w:type="dxa"/>
            <w:tcBorders/>
            <w:vAlign w:val="center"/>
          </w:tcPr>
          <w:p>
            <w:pPr>
              <w:pStyle w:val="TableContents"/>
              <w:bidi w:val="0"/>
              <w:spacing w:before="0" w:after="283"/>
              <w:jc w:val="both"/>
              <w:rPr>
                <w:sz w:val="20"/>
              </w:rPr>
            </w:pPr>
            <w:r>
              <w:rPr>
                <w:sz w:val="20"/>
              </w:rPr>
              <w:t xml:space="preserve">a favorable tax system;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00" w:type="dxa"/>
            <w:tcBorders/>
            <w:vAlign w:val="center"/>
          </w:tcPr>
          <w:p>
            <w:pPr>
              <w:pStyle w:val="TableContents"/>
              <w:bidi w:val="0"/>
              <w:spacing w:before="0" w:after="283"/>
              <w:jc w:val="both"/>
              <w:rPr>
                <w:sz w:val="20"/>
              </w:rPr>
            </w:pPr>
            <w:r>
              <w:rPr>
                <w:sz w:val="20"/>
              </w:rPr>
              <w:t xml:space="preserve">the absence of exchange control or currency restrictions;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5000" w:type="dxa"/>
            <w:tcBorders/>
            <w:vAlign w:val="center"/>
          </w:tcPr>
          <w:p>
            <w:pPr>
              <w:pStyle w:val="TableContents"/>
              <w:bidi w:val="0"/>
              <w:spacing w:before="0" w:after="283"/>
              <w:jc w:val="both"/>
              <w:rPr>
                <w:sz w:val="20"/>
              </w:rPr>
            </w:pPr>
            <w:r>
              <w:rPr>
                <w:sz w:val="20"/>
              </w:rPr>
              <w:t xml:space="preserve">the availability of professional and support services.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 Company incorporation in Ireland. These disadvantages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Ireland has a less developed body of securities laws as compared to the United States and these securities laws provide less protection to investors as compared to the United States; and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Ireland companies may not have standing to sue before the federal courts of the United States.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David E. Price, Esq. of Washington, DC as our agent to receive service of process with respect to any action brought against us in the U.S. in connection with this registration under the federal securities laws of the United States or the securities laws of any State in the United States or any action brought against us in the Supreme Court of the State of New York in the County of New York in connection with this registration under the securities laws of the State of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that the courts of Ireland are unlikely (i) to recognize or enforce against us judgments of courts of the United States predicated upon the civil liability provisions of the securities laws of the United States or any state in the United States; and (ii) in original actions brought in Ireland, to impose liabilities against us predicated upon the civil liability provisions of the securities laws of the United States or any state in the United States, so far as the liabilities imposed by those provisions are penal in nature. In those circumstances, although there is no statutory enforcement in Ireland of judgments obtained in the United States, the courts of Ireland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Ireland, such judgment must be final and conclusive and for a liquidated sum, and must not be in respect of taxes or a fine or penalty, inconsistent with a Ireland judgment in respect of the same matter, impeachable on the grounds of fraud or obtained in a manner, and or be of a kind the enforcement of which is, contrary to natural justice or the public policy of Ireland (awards of punitive or multiple damages may well be held to be contrary to public policy of Ireland). An Ireland Court may stay enforcement proceedings if concurrent proceedings are being brought elsewhere.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f1_022"/>
      <w:bookmarkEnd w:id="53"/>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2025 and 2024 appearing in this Registration Statement have been audited by WithumSmith+Brown, PC, an independent registered public accounting firm, as set forth in its report thereon appearing elsewhere herein and are included in the reliance upon such report given on the authority of such firm as experts in accounting and auditing. Their address is WithumSmith+Brown, PC 1835 Market Street, Suite 1710, Philadelphia, PA, 19103-2945, USA.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4" w:name="f1_023"/>
      <w:bookmarkEnd w:id="54"/>
      <w:r>
        <w:rPr>
          <w:rFonts w:ascii="Times New Roman;Times;Serif" w:hAnsi="Times New Roman;Times;Serif"/>
          <w:b/>
          <w:i w:val="false"/>
          <w:caps w:val="false"/>
          <w:smallCaps w:val="false"/>
          <w:sz w:val="20"/>
        </w:rPr>
        <w:t xml:space="preserve">WHERE YOU CAN FIND ADDITIONAL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including relevant exhibits, with the SEC on Form F-1 under the Securities Act with respect to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upon the effectiveness of the registration statement on Form F-1,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all shareholders with our annual reports, which will include a review of operations and annual audited consolidated financial statements prepared in conformity with IFRS, and all notices of shareholders’ meetings and other reports and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5" w:name="f1_024"/>
      <w:bookmarkEnd w:id="55"/>
      <w:r>
        <w:rPr>
          <w:rFonts w:ascii="Times New Roman;Times;Serif" w:hAnsi="Times New Roman;Times;Serif"/>
          <w:b/>
          <w:i w:val="false"/>
          <w:caps w:val="false"/>
          <w:smallCaps w:val="false"/>
          <w:sz w:val="20"/>
        </w:rPr>
        <w:t>INDEX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 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 w:name="fs"/>
      <w:bookmarkEnd w:id="56"/>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5195"/>
        <w:gridCol w:w="875"/>
      </w:tblGrid>
      <w:tr>
        <w:trPr/>
        <w:tc>
          <w:tcPr>
            <w:tcW w:w="5195"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0">
              <w:r>
                <w:rPr>
                  <w:rStyle w:val="InternetLink"/>
                  <w:rFonts w:ascii="Times New Roman;Times;Serif" w:hAnsi="Times New Roman;Times;Serif"/>
                  <w:sz w:val="20"/>
                </w:rPr>
                <w:t>Report of Independent Registered Public Accounting Firm</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1">
              <w:r>
                <w:rPr>
                  <w:rStyle w:val="InternetLink"/>
                  <w:rFonts w:ascii="Times New Roman;Times;Serif" w:hAnsi="Times New Roman;Times;Serif"/>
                  <w:sz w:val="20"/>
                </w:rPr>
                <w:t>Consolidated Statements of Operations – As Restated</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2">
              <w:r>
                <w:rPr>
                  <w:rStyle w:val="InternetLink"/>
                  <w:rFonts w:ascii="Times New Roman;Times;Serif" w:hAnsi="Times New Roman;Times;Serif"/>
                  <w:sz w:val="20"/>
                </w:rPr>
                <w:t>Consolidated Statements of Financial Position – As Restated</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3">
              <w:r>
                <w:rPr>
                  <w:rStyle w:val="InternetLink"/>
                  <w:rFonts w:ascii="Times New Roman;Times;Serif" w:hAnsi="Times New Roman;Times;Serif"/>
                  <w:sz w:val="20"/>
                </w:rPr>
                <w:t>Consolidated Statements of Stockholders’ Equity – As Restated</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4">
              <w:r>
                <w:rPr>
                  <w:rStyle w:val="InternetLink"/>
                  <w:rFonts w:ascii="Times New Roman;Times;Serif" w:hAnsi="Times New Roman;Times;Serif"/>
                  <w:sz w:val="20"/>
                </w:rPr>
                <w:t>Consolidated Statements of Cash Flows – As Restated</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519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283"/>
              <w:jc w:val="left"/>
              <w:rPr/>
            </w:pPr>
            <w:hyperlink w:anchor="a_095">
              <w:r>
                <w:rPr>
                  <w:rStyle w:val="InternetLink"/>
                  <w:rFonts w:ascii="Times New Roman;Times;Serif" w:hAnsi="Times New Roman;Times;Serif"/>
                  <w:sz w:val="20"/>
                </w:rPr>
                <w:t>Notes to the Consolidated Financial Statements – As Restated</w:t>
              </w:r>
            </w:hyperlink>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 – F-37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3717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6000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color w:val="0056B8"/>
          <w:sz w:val="20"/>
        </w:rPr>
      </w:pPr>
      <w:bookmarkStart w:id="57" w:name="a_090"/>
      <w:bookmarkEnd w:id="57"/>
      <w:r>
        <w:rPr>
          <w:rFonts w:ascii="Times New Roman;Times;Serif" w:hAnsi="Times New Roman;Times;Serif"/>
          <w:b/>
          <w:i w:val="false"/>
          <w:caps/>
          <w:color w:val="0056B8"/>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and Subsidiary: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0056B8"/>
          <w:sz w:val="20"/>
        </w:rPr>
      </w:pPr>
      <w:r>
        <w:rPr>
          <w:rFonts w:ascii="Times New Roman;Times;Serif" w:hAnsi="Times New Roman;Times;Serif"/>
          <w:b/>
          <w:i w:val="false"/>
          <w:caps w:val="false"/>
          <w:smallCaps w:val="false"/>
          <w:color w:val="0056B8"/>
          <w:sz w:val="20"/>
        </w:rPr>
        <w:t>Opinion on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Davion Healthcare Plc and Subsidiary (the “Company”) as of December 31, 2025 and 2024, and the related consolidated statements of operations,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International Financial Reporting Standards (IFRS) as issued by the International Accounting Standards Board (IASB).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0056B8"/>
          <w:sz w:val="20"/>
        </w:rPr>
      </w:pPr>
      <w:r>
        <w:rPr>
          <w:rFonts w:ascii="Times New Roman;Times;Serif" w:hAnsi="Times New Roman;Times;Serif"/>
          <w:b/>
          <w:i w:val="false"/>
          <w:caps w:val="false"/>
          <w:smallCaps w:val="false"/>
          <w:color w:val="0056B8"/>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0057B8"/>
          <w:sz w:val="20"/>
        </w:rPr>
      </w:pPr>
      <w:r>
        <w:rPr>
          <w:rFonts w:ascii="Times New Roman;Times;Serif" w:hAnsi="Times New Roman;Times;Serif"/>
          <w:b/>
          <w:i w:val="false"/>
          <w:caps w:val="false"/>
          <w:smallCaps w:val="false"/>
          <w:color w:val="0057B8"/>
          <w:sz w:val="20"/>
        </w:rPr>
        <w:t>Emphasis of Matter Regarding Restatement</w:t>
      </w:r>
    </w:p>
    <w:p>
      <w:pPr>
        <w:pStyle w:val="TextBody"/>
        <w:bidi w:val="0"/>
        <w:spacing w:before="0" w:after="0"/>
        <w:ind w:left="0" w:right="0" w:hanging="0"/>
        <w:jc w:val="both"/>
        <w:rPr>
          <w:caps w:val="false"/>
          <w:smallCaps w:val="false"/>
          <w:color w:val="0057B8"/>
        </w:rPr>
      </w:pPr>
      <w:r>
        <w:rPr>
          <w:caps w:val="false"/>
          <w:smallCaps w:val="false"/>
          <w:color w:val="0057B8"/>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22 to the restated consolidated financial statements, the Company has restated its previously issued financial statements as of and for the years ended December 31, 2025 and 2024 to correct a misstatement related to accounting for certain intellectual property acquired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285750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390525"/>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6, 2026, except for the effects of the restatement discussed in Note 22, as to which the date is August 17,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100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19825"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19825" cy="314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 w:name="a_091"/>
      <w:bookmarkEnd w:id="58"/>
      <w:r>
        <w:rPr>
          <w:rFonts w:ascii="Times New Roman;Times;Serif" w:hAnsi="Times New Roman;Times;Serif"/>
          <w:b/>
          <w:i w:val="false"/>
          <w:caps w:val="false"/>
          <w:smallCaps w:val="false"/>
          <w:sz w:val="20"/>
        </w:rPr>
        <w:t>CONSOLIDATED STATEMENTS OF OPERATIONS – AS RESTATED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 w:name="xdx_307_113_zKb0PEeotMin"/>
      <w:bookmarkStart w:id="60" w:name="xdx_307_113_zKb0PEeotMin"/>
      <w:bookmarkEnd w:id="60"/>
    </w:p>
    <w:tbl>
      <w:tblPr>
        <w:tblW w:w="7502" w:type="dxa"/>
        <w:jc w:val="left"/>
        <w:tblInd w:w="0" w:type="dxa"/>
        <w:tblLayout w:type="fixed"/>
        <w:tblCellMar>
          <w:top w:w="0" w:type="dxa"/>
          <w:left w:w="0" w:type="dxa"/>
          <w:bottom w:w="0" w:type="dxa"/>
          <w:right w:w="0" w:type="dxa"/>
        </w:tblCellMar>
      </w:tblPr>
      <w:tblGrid>
        <w:gridCol w:w="4055"/>
        <w:gridCol w:w="60"/>
        <w:gridCol w:w="485"/>
        <w:gridCol w:w="60"/>
        <w:gridCol w:w="165"/>
        <w:gridCol w:w="1126"/>
        <w:gridCol w:w="94"/>
        <w:gridCol w:w="71"/>
        <w:gridCol w:w="165"/>
        <w:gridCol w:w="1126"/>
        <w:gridCol w:w="9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61" w:name="xdx_49A_20250101__20251231_zwTTSHK4jj69"/>
            <w:bookmarkEnd w:id="61"/>
          </w:p>
        </w:tc>
        <w:tc>
          <w:tcPr>
            <w:tcW w:w="1126"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62" w:name="xdx_491_20240101__20241231_z2MhZYetJJG0"/>
            <w:bookmarkEnd w:id="62"/>
          </w:p>
        </w:tc>
        <w:tc>
          <w:tcPr>
            <w:tcW w:w="1126"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9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95" w:type="dxa"/>
            <w:tcBorders/>
            <w:vAlign w:val="center"/>
          </w:tcPr>
          <w:p>
            <w:pPr>
              <w:pStyle w:val="TableContents"/>
              <w:bidi w:val="0"/>
              <w:spacing w:before="0" w:after="283"/>
              <w:jc w:val="left"/>
              <w:rPr/>
            </w:pPr>
            <w:r>
              <w:rPr/>
              <w:t> </w:t>
            </w:r>
            <w:bookmarkStart w:id="63" w:name="xdx_40B_eifrs-full--AdministrativeExpens"/>
            <w:bookmarkEnd w:id="63"/>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expenses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(1,617,024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 w:name="xdx_400_eifrs-full--ResearchAndDevelopme"/>
            <w:bookmarkEnd w:id="64"/>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(8,159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 w:name="xdx_409_eifrs-full--ProfitLossFromOperat"/>
            <w:bookmarkEnd w:id="65"/>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 w:name="xdx_406_eifrs-full--IncomeTaxExpenseCont"/>
            <w:bookmarkEnd w:id="66"/>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67" w:name="xdx_405_eifrs-full--ProfitLoss_iT_mtPLz4"/>
            <w:bookmarkEnd w:id="67"/>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and total comprehensive loss for the year</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 w:name="xdx_400_eifrs-full--EarningsPerShareAbst"/>
            <w:bookmarkEnd w:id="68"/>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 per common share: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69" w:name="xdx_908_eifrs-full--DilutedEarningsLossP"/>
            <w:bookmarkStart w:id="70" w:name="xdx_909_eifrs-full--BasicEarningsLossPer"/>
            <w:bookmarkEnd w:id="69"/>
            <w:bookmarkEnd w:id="70"/>
            <w:r>
              <w:rPr>
                <w:rFonts w:ascii="Times New Roman;Times;Serif" w:hAnsi="Times New Roman;Times;Serif"/>
                <w:sz w:val="20"/>
              </w:rPr>
              <w:t>(0.05</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71" w:name="xdx_900_eifrs-full--DilutedEarningsLossP"/>
            <w:bookmarkStart w:id="72" w:name="xdx_900_eifrs-full--BasicEarningsLossPer"/>
            <w:bookmarkEnd w:id="71"/>
            <w:bookmarkEnd w:id="72"/>
            <w:r>
              <w:rPr>
                <w:rFonts w:ascii="Times New Roman;Times;Serif" w:hAnsi="Times New Roman;Times;Serif"/>
                <w:sz w:val="20"/>
              </w:rPr>
              <w:t>(0.07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3" w:name="xdx_409_eifrs-full--WeightedAverageShare"/>
            <w:bookmarkEnd w:id="73"/>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74" w:name="xdx_90E_eifrs-full--AdjustedWeightedAver"/>
            <w:bookmarkStart w:id="75" w:name="xdx_900_eifrs-full--WeightedAverageShare"/>
            <w:bookmarkEnd w:id="74"/>
            <w:bookmarkEnd w:id="75"/>
            <w:r>
              <w:rPr>
                <w:rFonts w:ascii="Times New Roman;Times;Serif" w:hAnsi="Times New Roman;Times;Serif"/>
                <w:sz w:val="20"/>
              </w:rPr>
              <w:t>25,000,000</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76" w:name="xdx_909_eifrs-full--AdjustedWeightedAver"/>
            <w:bookmarkStart w:id="77" w:name="xdx_90C_eifrs-full--WeightedAverageShare"/>
            <w:bookmarkEnd w:id="76"/>
            <w:bookmarkEnd w:id="77"/>
            <w:r>
              <w:rPr>
                <w:rFonts w:ascii="Times New Roman;Times;Serif" w:hAnsi="Times New Roman;Times;Serif"/>
                <w:sz w:val="20"/>
              </w:rPr>
              <w:t>22,909,836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 w:name="a_092"/>
      <w:bookmarkEnd w:id="78"/>
      <w:r>
        <w:rPr>
          <w:rFonts w:ascii="Times New Roman;Times;Serif" w:hAnsi="Times New Roman;Times;Serif"/>
          <w:b/>
          <w:i w:val="false"/>
          <w:caps w:val="false"/>
          <w:smallCaps w:val="false"/>
          <w:sz w:val="20"/>
        </w:rPr>
        <w:t>CONSOLIDATED STATEMENTS OF FINANCIAL POSITION – AS RESTATED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9" w:name="xdx_30E_111_zgdMc3GXKtBp"/>
      <w:bookmarkStart w:id="80" w:name="xdx_30E_111_zgdMc3GXKtBp"/>
      <w:bookmarkEnd w:id="80"/>
    </w:p>
    <w:tbl>
      <w:tblPr>
        <w:tblW w:w="6748" w:type="dxa"/>
        <w:jc w:val="left"/>
        <w:tblInd w:w="0" w:type="dxa"/>
        <w:tblLayout w:type="fixed"/>
        <w:tblCellMar>
          <w:top w:w="0" w:type="dxa"/>
          <w:left w:w="0" w:type="dxa"/>
          <w:bottom w:w="0" w:type="dxa"/>
          <w:right w:w="0" w:type="dxa"/>
        </w:tblCellMar>
      </w:tblPr>
      <w:tblGrid>
        <w:gridCol w:w="3440"/>
        <w:gridCol w:w="60"/>
        <w:gridCol w:w="485"/>
        <w:gridCol w:w="60"/>
        <w:gridCol w:w="165"/>
        <w:gridCol w:w="1069"/>
        <w:gridCol w:w="80"/>
        <w:gridCol w:w="60"/>
        <w:gridCol w:w="165"/>
        <w:gridCol w:w="1069"/>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81" w:name="xdx_49B_20251231_zEAfCdU2yyi_zaMzfCQaaFt"/>
            <w:bookmarkEnd w:id="81"/>
          </w:p>
        </w:tc>
        <w:tc>
          <w:tcPr>
            <w:tcW w:w="106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82" w:name="xdx_49B_20241231_zaFM4O0tnhy6"/>
            <w:bookmarkEnd w:id="82"/>
          </w:p>
        </w:tc>
        <w:tc>
          <w:tcPr>
            <w:tcW w:w="1069"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center"/>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95" w:type="dxa"/>
            <w:tcBorders/>
            <w:vAlign w:val="center"/>
          </w:tcPr>
          <w:p>
            <w:pPr>
              <w:pStyle w:val="TableContents"/>
              <w:bidi w:val="0"/>
              <w:spacing w:before="0" w:after="283"/>
              <w:jc w:val="left"/>
              <w:rPr/>
            </w:pPr>
            <w:r>
              <w:rPr/>
              <w:t> </w:t>
            </w:r>
            <w:bookmarkStart w:id="83" w:name="xdx_409_eifrs-full--AssetsAbstract_iB_zy"/>
            <w:bookmarkEnd w:id="83"/>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84" w:name="xdx_403_eifrs-full--NoncurrentAssetsAbst"/>
            <w:bookmarkEnd w:id="84"/>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85" w:name="xdx_40A_eifrs-full--IntangibleAssetsOthe"/>
            <w:bookmarkEnd w:id="85"/>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2,184,618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2,489,448</w:t>
            </w:r>
          </w:p>
        </w:tc>
        <w:tc>
          <w:tcPr>
            <w:tcW w:w="95" w:type="dxa"/>
            <w:tcBorders/>
            <w:shd w:fill="CCEEFF" w:val="clear"/>
            <w:vAlign w:val="center"/>
          </w:tcPr>
          <w:p>
            <w:pPr>
              <w:pStyle w:val="TableContents"/>
              <w:bidi w:val="0"/>
              <w:spacing w:before="0" w:after="283"/>
              <w:jc w:val="left"/>
              <w:rPr/>
            </w:pPr>
            <w:r>
              <w:rPr/>
              <w:t> </w:t>
            </w:r>
            <w:bookmarkStart w:id="86" w:name="xdx_403_eifrs-full--CurrentAssetsAbstrac"/>
            <w:bookmarkEnd w:id="86"/>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87" w:name="xdx_408_ecustom--VatReceivable_iI_d0_maC"/>
            <w:bookmarkEnd w:id="87"/>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VAT receivable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8,138</w:t>
            </w:r>
          </w:p>
        </w:tc>
        <w:tc>
          <w:tcPr>
            <w:tcW w:w="95" w:type="dxa"/>
            <w:tcBorders/>
            <w:shd w:fill="CCEEFF" w:val="clear"/>
            <w:vAlign w:val="center"/>
          </w:tcPr>
          <w:p>
            <w:pPr>
              <w:pStyle w:val="TableContents"/>
              <w:bidi w:val="0"/>
              <w:spacing w:before="0" w:after="283"/>
              <w:jc w:val="left"/>
              <w:rPr/>
            </w:pPr>
            <w:r>
              <w:rPr/>
              <w:t> </w:t>
            </w:r>
            <w:bookmarkStart w:id="88" w:name="xdx_404_eifrs-full--CurrentPrepayments_i"/>
            <w:bookmarkEnd w:id="88"/>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89" w:name="xdx_407_eifrs-full--CashAndCashEquivalen"/>
            <w:bookmarkEnd w:id="89"/>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95" w:type="dxa"/>
            <w:tcBorders/>
            <w:shd w:fill="CCEEFF" w:val="clear"/>
            <w:vAlign w:val="center"/>
          </w:tcPr>
          <w:p>
            <w:pPr>
              <w:pStyle w:val="TableContents"/>
              <w:bidi w:val="0"/>
              <w:spacing w:before="0" w:after="283"/>
              <w:jc w:val="left"/>
              <w:rPr/>
            </w:pPr>
            <w:r>
              <w:rPr/>
              <w:t> </w:t>
            </w:r>
            <w:bookmarkStart w:id="90" w:name="xdx_400_eifrs-full--CurrentAssets_iTI_mt"/>
            <w:bookmarkEnd w:id="90"/>
          </w:p>
        </w:tc>
      </w:tr>
      <w:tr>
        <w:trPr/>
        <w:tc>
          <w:tcPr>
            <w:tcW w:w="344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8,149</w:t>
            </w:r>
          </w:p>
        </w:tc>
        <w:tc>
          <w:tcPr>
            <w:tcW w:w="95" w:type="dxa"/>
            <w:tcBorders/>
            <w:shd w:fill="FFFFFF" w:val="clear"/>
            <w:vAlign w:val="center"/>
          </w:tcPr>
          <w:p>
            <w:pPr>
              <w:pStyle w:val="TableContents"/>
              <w:bidi w:val="0"/>
              <w:spacing w:before="0" w:after="283"/>
              <w:jc w:val="left"/>
              <w:rPr/>
            </w:pPr>
            <w:r>
              <w:rPr/>
              <w:t> </w:t>
            </w:r>
            <w:bookmarkStart w:id="91" w:name="xdx_40E_eifrs-full--Assets_iTI_mtAzstP_z"/>
            <w:bookmarkEnd w:id="91"/>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2,325,216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2,497,597</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92" w:name="xdx_401_eifrs-full--EquityAbstract_iB_zS"/>
            <w:bookmarkEnd w:id="92"/>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3" w:name="xdx_406_eifrs-full--IssuedCapital_iI_maE"/>
            <w:bookmarkEnd w:id="93"/>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capital</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95" w:type="dxa"/>
            <w:tcBorders/>
            <w:shd w:fill="FFFFFF" w:val="clear"/>
            <w:vAlign w:val="center"/>
          </w:tcPr>
          <w:p>
            <w:pPr>
              <w:pStyle w:val="TableContents"/>
              <w:bidi w:val="0"/>
              <w:spacing w:before="0" w:after="283"/>
              <w:jc w:val="left"/>
              <w:rPr/>
            </w:pPr>
            <w:r>
              <w:rPr/>
              <w:t> </w:t>
            </w:r>
            <w:bookmarkStart w:id="94" w:name="xdx_407_eifrs-full--SharePremium_iI_d0_m"/>
            <w:bookmarkEnd w:id="94"/>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premium</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16</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95" w:type="dxa"/>
            <w:tcBorders/>
            <w:shd w:fill="CCEEFF" w:val="clear"/>
            <w:vAlign w:val="center"/>
          </w:tcPr>
          <w:p>
            <w:pPr>
              <w:pStyle w:val="TableContents"/>
              <w:bidi w:val="0"/>
              <w:spacing w:before="0" w:after="283"/>
              <w:jc w:val="left"/>
              <w:rPr/>
            </w:pPr>
            <w:r>
              <w:rPr/>
              <w:t> </w:t>
            </w:r>
            <w:bookmarkStart w:id="95" w:name="xdx_407_eifrs-full--RetainedEarnings_iI_"/>
            <w:bookmarkEnd w:id="95"/>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Deficit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(8,316,348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(7,187,541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6" w:name="xdx_403_eifrs-full--Equity_iTI_mtEzqNO_m"/>
            <w:bookmarkEnd w:id="96"/>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1,329,034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2,457,841</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7" w:name="xdx_400_eifrs-full--LiabilitiesAbstract_"/>
            <w:bookmarkEnd w:id="97"/>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98" w:name="xdx_406_eifrs-full--NoncurrentLiabilitie"/>
            <w:bookmarkEnd w:id="98"/>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9" w:name="xdx_401_ecustom--AdvancesFromRelatedPart"/>
            <w:bookmarkEnd w:id="99"/>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from related parties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907,671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00" w:name="xdx_402_eifrs-full--CurrentLiabilitiesAb"/>
            <w:bookmarkEnd w:id="100"/>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1" w:name="xdx_406_eifrs-full--TradeAndOtherCurrent"/>
            <w:bookmarkEnd w:id="101"/>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payables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39,756</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2" w:name="xdx_403_eifrs-full--Liabilities_iTI_d0_m"/>
            <w:bookmarkEnd w:id="102"/>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996,182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39,756</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3" w:name="xdx_405_eifrs-full--EquityAndLiabilities"/>
            <w:bookmarkEnd w:id="103"/>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stockholders’ equity and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2,325,216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2,497,597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an integral part of these consolidated financial statements.</w:t>
      </w:r>
    </w:p>
    <w:p>
      <w:pPr>
        <w:pStyle w:val="TextBody"/>
        <w:bidi w:val="0"/>
        <w:spacing w:before="0" w:after="0"/>
        <w:ind w:left="132" w:right="132" w:hanging="0"/>
        <w:jc w:val="both"/>
        <w:rPr>
          <w:caps w:val="false"/>
          <w:smallCaps w:val="false"/>
        </w:rPr>
      </w:pPr>
      <w:r>
        <w:rPr>
          <w:caps w:val="false"/>
          <w:smallCaps w:val="false"/>
        </w:rPr>
        <w:t> </w:t>
      </w:r>
    </w:p>
    <w:p>
      <w:pPr>
        <w:pStyle w:val="TextBody"/>
        <w:bidi w:val="0"/>
        <w:spacing w:before="0" w:after="0"/>
        <w:ind w:left="132" w:right="132"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were approved by the board of directors and authorised for issuance on August 17, 2026 and are signed on its behalf by:</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210"/>
        <w:gridCol w:w="60"/>
        <w:gridCol w:w="1385"/>
      </w:tblGrid>
      <w:tr>
        <w:trPr/>
        <w:tc>
          <w:tcPr>
            <w:tcW w:w="221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Jack Kaye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Andreas Ttofi</w:t>
            </w:r>
          </w:p>
        </w:tc>
      </w:tr>
      <w:tr>
        <w:trPr/>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Kaye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Andreas Ttofi</w:t>
            </w:r>
          </w:p>
        </w:tc>
      </w:tr>
      <w:tr>
        <w:trPr/>
        <w:tc>
          <w:tcPr>
            <w:tcW w:w="22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registration number 772522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4" w:name="a_093"/>
      <w:bookmarkEnd w:id="104"/>
      <w:r>
        <w:rPr>
          <w:rFonts w:ascii="Times New Roman;Times;Serif" w:hAnsi="Times New Roman;Times;Serif"/>
          <w:b/>
          <w:i w:val="false"/>
          <w:caps w:val="false"/>
          <w:smallCaps w:val="false"/>
          <w:sz w:val="20"/>
        </w:rPr>
        <w:t>CONSOLIDATED STATEMENTS OF STOCKHOLDERS’ EQUITY – AS RESTATED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5" w:name="xdx_301_114_zsPbGpKw7i6u"/>
      <w:bookmarkStart w:id="106" w:name="xdx_301_114_zsPbGpKw7i6u"/>
      <w:bookmarkEnd w:id="106"/>
    </w:p>
    <w:tbl>
      <w:tblPr>
        <w:tblW w:w="10205" w:type="dxa"/>
        <w:jc w:val="left"/>
        <w:tblInd w:w="0" w:type="dxa"/>
        <w:tblLayout w:type="fixed"/>
        <w:tblCellMar>
          <w:top w:w="0" w:type="dxa"/>
          <w:left w:w="0" w:type="dxa"/>
          <w:bottom w:w="0" w:type="dxa"/>
          <w:right w:w="0" w:type="dxa"/>
        </w:tblCellMar>
      </w:tblPr>
      <w:tblGrid>
        <w:gridCol w:w="4724"/>
        <w:gridCol w:w="60"/>
        <w:gridCol w:w="485"/>
        <w:gridCol w:w="60"/>
        <w:gridCol w:w="163"/>
        <w:gridCol w:w="815"/>
        <w:gridCol w:w="60"/>
        <w:gridCol w:w="60"/>
        <w:gridCol w:w="163"/>
        <w:gridCol w:w="987"/>
        <w:gridCol w:w="60"/>
        <w:gridCol w:w="60"/>
        <w:gridCol w:w="140"/>
        <w:gridCol w:w="905"/>
        <w:gridCol w:w="80"/>
        <w:gridCol w:w="60"/>
        <w:gridCol w:w="140"/>
        <w:gridCol w:w="905"/>
        <w:gridCol w:w="278"/>
      </w:tblGrid>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bookmarkStart w:id="107" w:name="xdx_4B9_ifrs-full--ComponentsOfEquityAxi"/>
            <w:bookmarkEnd w:id="107"/>
          </w:p>
        </w:tc>
        <w:tc>
          <w:tcPr>
            <w:tcW w:w="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bookmarkStart w:id="108" w:name="xdx_4B5_ifrs-full--ComponentsOfEquityAxi"/>
            <w:bookmarkEnd w:id="108"/>
          </w:p>
        </w:tc>
        <w:tc>
          <w:tcPr>
            <w:tcW w:w="9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109" w:name="xdx_4B4_ifrs-full--ComponentsOfEquityAxi"/>
            <w:bookmarkEnd w:id="109"/>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110" w:name="xdx_4BF_zcvKyJudbs1X"/>
            <w:bookmarkEnd w:id="110"/>
          </w:p>
        </w:tc>
        <w:tc>
          <w:tcPr>
            <w:tcW w:w="905" w:type="dxa"/>
            <w:tcBorders/>
            <w:vAlign w:val="center"/>
          </w:tcPr>
          <w:p>
            <w:pPr>
              <w:pStyle w:val="TableContents"/>
              <w:bidi w:val="0"/>
              <w:spacing w:before="0" w:after="283"/>
              <w:jc w:val="center"/>
              <w:rPr/>
            </w:pPr>
            <w:r>
              <w:rPr/>
              <w:t> </w:t>
            </w:r>
          </w:p>
        </w:tc>
        <w:tc>
          <w:tcPr>
            <w:tcW w:w="278"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premium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278"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center"/>
              <w:rPr/>
            </w:pPr>
            <w:r>
              <w:rPr/>
              <w:t> </w:t>
            </w:r>
          </w:p>
        </w:tc>
        <w:tc>
          <w:tcPr>
            <w:tcW w:w="278" w:type="dxa"/>
            <w:tcBorders/>
            <w:vAlign w:val="center"/>
          </w:tcPr>
          <w:p>
            <w:pPr>
              <w:pStyle w:val="TableContents"/>
              <w:bidi w:val="0"/>
              <w:spacing w:before="0" w:after="283"/>
              <w:jc w:val="left"/>
              <w:rPr/>
            </w:pPr>
            <w:r>
              <w:rPr/>
              <w:t> </w:t>
            </w:r>
            <w:bookmarkStart w:id="111" w:name="xdx_43B_c20240101__20241231_eifrs-full--"/>
            <w:bookmarkEnd w:id="111"/>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December 31, 2023 – As Restated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2,925,719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(5,562,358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(2,436,639</w:t>
            </w:r>
          </w:p>
        </w:tc>
        <w:tc>
          <w:tcPr>
            <w:tcW w:w="278" w:type="dxa"/>
            <w:tcBorders/>
            <w:shd w:fill="CCEEFF" w:val="clear"/>
            <w:vAlign w:val="center"/>
          </w:tcPr>
          <w:p>
            <w:pPr>
              <w:pStyle w:val="TableContents"/>
              <w:bidi w:val="0"/>
              <w:spacing w:before="0" w:after="283"/>
              <w:ind w:left="0" w:right="0" w:hanging="200"/>
              <w:jc w:val="left"/>
              <w:rPr/>
            </w:pPr>
            <w:r>
              <w:rPr/>
              <w:t>)</w:t>
            </w:r>
            <w:bookmarkStart w:id="112" w:name="xdx_404_eifrs-full--ProfitLoss_zYK0jBSBR"/>
            <w:bookmarkEnd w:id="112"/>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and total comprehensive income (loss) for the period – as restated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278"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bookmarkStart w:id="113" w:name="xdx_40E_ecustom--TransactionsWithOwnersI"/>
            <w:bookmarkEnd w:id="113"/>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Owners in their capacity as owners: Shares issued for repayment of advances and salaries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5,594,018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5,600,000</w:t>
            </w:r>
          </w:p>
        </w:tc>
        <w:tc>
          <w:tcPr>
            <w:tcW w:w="278" w:type="dxa"/>
            <w:tcBorders/>
            <w:shd w:fill="CCEEFF" w:val="clear"/>
            <w:vAlign w:val="center"/>
          </w:tcPr>
          <w:p>
            <w:pPr>
              <w:pStyle w:val="TableContents"/>
              <w:bidi w:val="0"/>
              <w:spacing w:before="0" w:after="283"/>
              <w:ind w:left="0" w:right="0" w:hanging="200"/>
              <w:jc w:val="left"/>
              <w:rPr/>
            </w:pPr>
            <w:r>
              <w:rPr/>
              <w:t> </w:t>
            </w:r>
            <w:bookmarkStart w:id="114" w:name="xdx_40D_ecustom--TransactionsWithOwnersI"/>
            <w:bookmarkEnd w:id="114"/>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Owners in their capacity as owners: Issue of share capital</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919,663</w:t>
            </w:r>
          </w:p>
        </w:tc>
        <w:tc>
          <w:tcPr>
            <w:tcW w:w="278" w:type="dxa"/>
            <w:tcBorders/>
            <w:shd w:fill="FFFFFF" w:val="clear"/>
            <w:vAlign w:val="center"/>
          </w:tcPr>
          <w:p>
            <w:pPr>
              <w:pStyle w:val="TableContents"/>
              <w:bidi w:val="0"/>
              <w:spacing w:before="0" w:after="283"/>
              <w:ind w:left="0" w:right="0" w:firstLine="200"/>
              <w:jc w:val="left"/>
              <w:rPr/>
            </w:pPr>
            <w:r>
              <w:rPr/>
              <w:t> </w:t>
            </w:r>
          </w:p>
        </w:tc>
      </w:tr>
      <w:tr>
        <w:trPr/>
        <w:tc>
          <w:tcPr>
            <w:tcW w:w="47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bookmarkStart w:id="115" w:name="xdx_43E_c20250101__20251231_eifrs-full--"/>
            <w:bookmarkEnd w:id="115"/>
          </w:p>
        </w:tc>
      </w:tr>
      <w:tr>
        <w:trPr/>
        <w:tc>
          <w:tcPr>
            <w:tcW w:w="472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December 31, 2024 – As Restated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9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(7,187,541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2,457,841</w:t>
            </w:r>
          </w:p>
        </w:tc>
        <w:tc>
          <w:tcPr>
            <w:tcW w:w="278" w:type="dxa"/>
            <w:tcBorders/>
            <w:shd w:fill="FFFFFF" w:val="clear"/>
            <w:vAlign w:val="center"/>
          </w:tcPr>
          <w:p>
            <w:pPr>
              <w:pStyle w:val="TableContents"/>
              <w:bidi w:val="0"/>
              <w:spacing w:before="0" w:after="283"/>
              <w:ind w:left="0" w:right="0" w:hanging="200"/>
              <w:jc w:val="left"/>
              <w:rPr/>
            </w:pPr>
            <w:r>
              <w:rPr/>
              <w:t> </w:t>
            </w:r>
            <w:bookmarkStart w:id="116" w:name="xdx_404_eifrs-full--ProfitLoss_zlec4IUeh"/>
            <w:bookmarkEnd w:id="116"/>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and total comprehensive income (loss) for the year – as restated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bookmarkStart w:id="117" w:name="xdx_434_c20250101__20251231_eifrs-full--"/>
            <w:bookmarkEnd w:id="117"/>
          </w:p>
        </w:tc>
      </w:tr>
      <w:tr>
        <w:trPr/>
        <w:tc>
          <w:tcPr>
            <w:tcW w:w="472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December 31, 2025 – As Restated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(8,316,348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1,329,034</w:t>
            </w:r>
          </w:p>
        </w:tc>
        <w:tc>
          <w:tcPr>
            <w:tcW w:w="2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8" w:name="a_094"/>
      <w:bookmarkEnd w:id="118"/>
      <w:r>
        <w:rPr>
          <w:rFonts w:ascii="Times New Roman;Times;Serif" w:hAnsi="Times New Roman;Times;Serif"/>
          <w:b/>
          <w:i w:val="false"/>
          <w:caps w:val="false"/>
          <w:smallCaps w:val="false"/>
          <w:sz w:val="20"/>
        </w:rPr>
        <w:t>CONSOLIDATED STATEMENTS OF CASH FLOWS – AS RESTATED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9" w:name="xdx_30A_112_zOQID0djsRm1"/>
      <w:bookmarkStart w:id="120" w:name="xdx_30A_112_zOQID0djsRm1"/>
      <w:bookmarkEnd w:id="120"/>
    </w:p>
    <w:tbl>
      <w:tblPr>
        <w:tblW w:w="9467" w:type="dxa"/>
        <w:jc w:val="left"/>
        <w:tblInd w:w="0" w:type="dxa"/>
        <w:tblLayout w:type="fixed"/>
        <w:tblCellMar>
          <w:top w:w="0" w:type="dxa"/>
          <w:left w:w="0" w:type="dxa"/>
          <w:bottom w:w="0" w:type="dxa"/>
          <w:right w:w="0" w:type="dxa"/>
        </w:tblCellMar>
      </w:tblPr>
      <w:tblGrid>
        <w:gridCol w:w="5945"/>
        <w:gridCol w:w="60"/>
        <w:gridCol w:w="485"/>
        <w:gridCol w:w="60"/>
        <w:gridCol w:w="167"/>
        <w:gridCol w:w="1079"/>
        <w:gridCol w:w="184"/>
        <w:gridCol w:w="71"/>
        <w:gridCol w:w="167"/>
        <w:gridCol w:w="1079"/>
        <w:gridCol w:w="170"/>
      </w:tblGrid>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bookmarkStart w:id="121" w:name="xdx_49F_20250101__20251231_zX7yFSVctNfk"/>
            <w:bookmarkEnd w:id="121"/>
          </w:p>
        </w:tc>
        <w:tc>
          <w:tcPr>
            <w:tcW w:w="1079" w:type="dxa"/>
            <w:tcBorders/>
            <w:vAlign w:val="center"/>
          </w:tcPr>
          <w:p>
            <w:pPr>
              <w:pStyle w:val="TableContents"/>
              <w:bidi w:val="0"/>
              <w:spacing w:before="0" w:after="283"/>
              <w:jc w:val="center"/>
              <w:rPr/>
            </w:pPr>
            <w:r>
              <w:rPr/>
              <w:t> </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bookmarkStart w:id="122" w:name="xdx_497_20240101__20241231_zkzT25vrWMcC"/>
            <w:bookmarkEnd w:id="122"/>
          </w:p>
        </w:tc>
        <w:tc>
          <w:tcPr>
            <w:tcW w:w="1079"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184"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Restated</w:t>
            </w:r>
          </w:p>
        </w:tc>
        <w:tc>
          <w:tcPr>
            <w:tcW w:w="170" w:type="dxa"/>
            <w:tcBorders/>
            <w:vAlign w:val="center"/>
          </w:tcPr>
          <w:p>
            <w:pPr>
              <w:pStyle w:val="TableContents"/>
              <w:bidi w:val="0"/>
              <w:spacing w:before="0" w:after="283"/>
              <w:jc w:val="center"/>
              <w:rPr/>
            </w:pPr>
            <w:r>
              <w:rPr/>
              <w:t> </w:t>
            </w:r>
            <w:bookmarkStart w:id="123" w:name="xdx_404_eifrs-full--CashFlowsFromUsedInO"/>
            <w:bookmarkEnd w:id="123"/>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24" w:name="xdx_40A_eifrs-full--ProfitLoss_maAFIDIzo"/>
            <w:bookmarkEnd w:id="124"/>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1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5" w:name="xdx_404_eifrs-full--AdjustmentsForReconc"/>
            <w:bookmarkEnd w:id="125"/>
          </w:p>
        </w:tc>
      </w:tr>
      <w:tr>
        <w:trPr/>
        <w:tc>
          <w:tcPr>
            <w:tcW w:w="5945" w:type="dxa"/>
            <w:tcBorders/>
            <w:shd w:fill="CCEEFF" w:val="clear"/>
            <w:vAlign w:val="center"/>
          </w:tcPr>
          <w:p>
            <w:pPr>
              <w:pStyle w:val="TableContents"/>
              <w:bidi w:val="0"/>
              <w:spacing w:before="0" w:after="0"/>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bookmarkStart w:id="126" w:name="xdx_40B_eifrs-full--IncreaseDecreaseInFi"/>
            <w:bookmarkEnd w:id="126"/>
          </w:p>
        </w:tc>
      </w:tr>
      <w:tr>
        <w:trPr/>
        <w:tc>
          <w:tcPr>
            <w:tcW w:w="594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27" w:name="xdx_40D_eifrs-full--Amortisation_maAFIDI"/>
            <w:bookmarkEnd w:id="127"/>
          </w:p>
        </w:tc>
      </w:tr>
      <w:tr>
        <w:trPr/>
        <w:tc>
          <w:tcPr>
            <w:tcW w:w="5945" w:type="dxa"/>
            <w:tcBorders/>
            <w:shd w:fill="CCEEFF" w:val="clear"/>
            <w:vAlign w:val="center"/>
          </w:tcPr>
          <w:p>
            <w:pPr>
              <w:pStyle w:val="TableContents"/>
              <w:bidi w:val="0"/>
              <w:spacing w:before="0" w:after="283"/>
              <w:jc w:val="left"/>
              <w:rPr/>
            </w:pPr>
            <w:r>
              <w:rPr/>
              <w:t>Amortisation</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304,830</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304,830</w:t>
            </w:r>
          </w:p>
        </w:tc>
        <w:tc>
          <w:tcPr>
            <w:tcW w:w="170" w:type="dxa"/>
            <w:tcBorders/>
            <w:shd w:fill="CCEEFF" w:val="clear"/>
            <w:vAlign w:val="center"/>
          </w:tcPr>
          <w:p>
            <w:pPr>
              <w:pStyle w:val="TableContents"/>
              <w:bidi w:val="0"/>
              <w:spacing w:before="0" w:after="283"/>
              <w:jc w:val="left"/>
              <w:rPr/>
            </w:pPr>
            <w:r>
              <w:rPr/>
              <w:t> </w:t>
            </w:r>
            <w:bookmarkStart w:id="128" w:name="xdx_404_ecustom--AdjustmentsForDecreaseI"/>
            <w:bookmarkEnd w:id="128"/>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VAT receivable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(8,895</w:t>
            </w:r>
          </w:p>
        </w:tc>
        <w:tc>
          <w:tcPr>
            <w:tcW w:w="1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(7,807</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9" w:name="xdx_406_ecustom--AdjustmentsForDecreaseI"/>
            <w:bookmarkEnd w:id="129"/>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prepayments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(122,507</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bookmarkStart w:id="130" w:name="xdx_402_ecustom--AdjustmentsForDecreaseI"/>
            <w:bookmarkEnd w:id="130"/>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amount due to related parties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906,301</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890,915</w:t>
            </w:r>
          </w:p>
        </w:tc>
        <w:tc>
          <w:tcPr>
            <w:tcW w:w="170" w:type="dxa"/>
            <w:tcBorders/>
            <w:shd w:fill="FFFFFF" w:val="clear"/>
            <w:vAlign w:val="center"/>
          </w:tcPr>
          <w:p>
            <w:pPr>
              <w:pStyle w:val="TableContents"/>
              <w:bidi w:val="0"/>
              <w:spacing w:before="0" w:after="283"/>
              <w:jc w:val="left"/>
              <w:rPr/>
            </w:pPr>
            <w:r>
              <w:rPr/>
              <w:t> </w:t>
            </w:r>
            <w:bookmarkStart w:id="131" w:name="xdx_40F_eifrs-full--AdjustmentsForIncrea"/>
            <w:bookmarkEnd w:id="131"/>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trade and other payables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48,755</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436,577</w:t>
            </w:r>
          </w:p>
        </w:tc>
        <w:tc>
          <w:tcPr>
            <w:tcW w:w="170" w:type="dxa"/>
            <w:tcBorders/>
            <w:shd w:fill="CCEEFF" w:val="clear"/>
            <w:vAlign w:val="center"/>
          </w:tcPr>
          <w:p>
            <w:pPr>
              <w:pStyle w:val="TableContents"/>
              <w:bidi w:val="0"/>
              <w:spacing w:before="0" w:after="283"/>
              <w:jc w:val="left"/>
              <w:rPr/>
            </w:pPr>
            <w:r>
              <w:rPr/>
              <w:t> </w:t>
            </w:r>
            <w:bookmarkStart w:id="132" w:name="xdx_403_eifrs-full--CashFlowsFromUsedInO"/>
            <w:bookmarkEnd w:id="132"/>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w:t>
            </w:r>
          </w:p>
        </w:tc>
        <w:tc>
          <w:tcPr>
            <w:tcW w:w="17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33" w:name="xdx_407_eifrs-full--CashFlowsFromUsedInI"/>
            <w:bookmarkEnd w:id="133"/>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from investing activities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34" w:name="xdx_409_eifrs-full--CashFlowsFromUsedInF"/>
            <w:bookmarkEnd w:id="134"/>
          </w:p>
        </w:tc>
      </w:tr>
      <w:tr>
        <w:trPr/>
        <w:tc>
          <w:tcPr>
            <w:tcW w:w="594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35" w:name="xdx_401_ecustom--ProceedsFromRelatedPart"/>
            <w:bookmarkEnd w:id="135"/>
          </w:p>
        </w:tc>
      </w:tr>
      <w:tr>
        <w:trPr/>
        <w:tc>
          <w:tcPr>
            <w:tcW w:w="5945" w:type="dxa"/>
            <w:tcBorders/>
            <w:shd w:fill="CCEEFF" w:val="clear"/>
            <w:vAlign w:val="center"/>
          </w:tcPr>
          <w:p>
            <w:pPr>
              <w:pStyle w:val="TableContents"/>
              <w:bidi w:val="0"/>
              <w:spacing w:before="0" w:after="283"/>
              <w:jc w:val="left"/>
              <w:rPr/>
            </w:pPr>
            <w:r>
              <w:rPr/>
              <w:t>Increase from related party advances,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b/>
              </w:rPr>
            </w:pPr>
            <w:r>
              <w:rPr>
                <w:b/>
              </w:rPr>
              <w:t>10</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pPr>
            <w:r>
              <w:rPr/>
              <w:t>1,370</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bookmarkStart w:id="136" w:name="xdx_402_eifrs-full--CashFlowsFromUsedInF"/>
            <w:bookmarkEnd w:id="136"/>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1,370</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37" w:name="xdx_403_eifrs-full--IncreaseDecreaseInCa"/>
            <w:bookmarkEnd w:id="137"/>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increase/(decrease)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1,047</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w:t>
            </w:r>
          </w:p>
        </w:tc>
        <w:tc>
          <w:tcPr>
            <w:tcW w:w="170" w:type="dxa"/>
            <w:tcBorders/>
            <w:shd w:fill="FFFFFF" w:val="clear"/>
            <w:vAlign w:val="center"/>
          </w:tcPr>
          <w:p>
            <w:pPr>
              <w:pStyle w:val="TableContents"/>
              <w:bidi w:val="0"/>
              <w:spacing w:before="0" w:after="283"/>
              <w:jc w:val="left"/>
              <w:rPr/>
            </w:pPr>
            <w:r>
              <w:rPr/>
              <w:t>) </w:t>
            </w:r>
            <w:bookmarkStart w:id="138" w:name="xdx_40D_eifrs-full--RestrictedCashAndCas"/>
            <w:bookmarkEnd w:id="138"/>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at beginning of year</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w:t>
            </w:r>
          </w:p>
        </w:tc>
        <w:tc>
          <w:tcPr>
            <w:tcW w:w="170" w:type="dxa"/>
            <w:tcBorders/>
            <w:shd w:fill="CCEEFF" w:val="clear"/>
            <w:vAlign w:val="center"/>
          </w:tcPr>
          <w:p>
            <w:pPr>
              <w:pStyle w:val="TableContents"/>
              <w:bidi w:val="0"/>
              <w:spacing w:before="0" w:after="283"/>
              <w:jc w:val="left"/>
              <w:rPr/>
            </w:pPr>
            <w:r>
              <w:rPr/>
              <w:t> </w:t>
            </w:r>
            <w:bookmarkStart w:id="139" w:name="xdx_407_eifrs-full--RestrictedCashAndCas"/>
            <w:bookmarkEnd w:id="139"/>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at end of year</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1,058</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7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40" w:name="xdx_40D_ecustom--NonCashInvestingAndFina"/>
            <w:bookmarkEnd w:id="140"/>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 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41" w:name="xdx_402_ecustom--SharesIssuedForAmountsD"/>
            <w:bookmarkEnd w:id="141"/>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issued for amounts due to related parties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079" w:type="dxa"/>
            <w:tcBorders/>
            <w:shd w:fill="FFFFFF" w:val="clear"/>
            <w:vAlign w:val="center"/>
          </w:tcPr>
          <w:p>
            <w:pPr>
              <w:pStyle w:val="TableContents"/>
              <w:bidi w:val="0"/>
              <w:spacing w:before="0" w:after="283"/>
              <w:jc w:val="right"/>
              <w:rPr/>
            </w:pPr>
            <w:r>
              <w:rPr/>
              <w:t>–</w:t>
            </w:r>
          </w:p>
        </w:tc>
        <w:tc>
          <w:tcPr>
            <w:tcW w:w="18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0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5,600,000</w:t>
            </w:r>
          </w:p>
        </w:tc>
        <w:tc>
          <w:tcPr>
            <w:tcW w:w="170" w:type="dxa"/>
            <w:tcBorders/>
            <w:shd w:fill="FFFFFF" w:val="clear"/>
            <w:vAlign w:val="center"/>
          </w:tcPr>
          <w:p>
            <w:pPr>
              <w:pStyle w:val="TableContents"/>
              <w:bidi w:val="0"/>
              <w:spacing w:before="0" w:after="283"/>
              <w:jc w:val="left"/>
              <w:rPr/>
            </w:pPr>
            <w:r>
              <w:rPr/>
              <w:t> </w:t>
            </w:r>
            <w:bookmarkStart w:id="142" w:name="xdx_402_ecustom--SharesIssuedForTradeAnd"/>
            <w:bookmarkEnd w:id="142"/>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Shares issued for trade and other payables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w:t>
            </w:r>
          </w:p>
        </w:tc>
        <w:tc>
          <w:tcPr>
            <w:tcW w:w="18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919,663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3" w:name="a_095"/>
      <w:bookmarkEnd w:id="143"/>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Davion Healthcare Plc was incorporated in the Republic of Cyprus on 29 November 2022 as a Public Company and re-registered in Ireland as a Public Limited Company on 25 September 2024. In December 2024, a restructuring was completed with the shareholders of Cyprus, exchanging their shares for the same number of shares in Davion Healthcare Plc. in Ireland, making Cyprus a wholly owned subsidiary, which was renamed as Davion Healthcare Ltd (Cyprus). The consolidated financial statements give effect to the restructuring as a “reverse merger” as if it occurred on January 1, 2023. Davion Healthcare is a healthcare Company focusing on the development and commercialization of non-invasive home tests for the early detection, prevention and monitoring of health anomalies. All references to “the Company”, “we”, “us”, “the Group” or “our” refer to Davion Healthcare Plc and its wholly owned subsidiary Davion Healthcare Ltd. unless the context otherwise indicates.</w:t>
      </w:r>
    </w:p>
    <w:p>
      <w:pPr>
        <w:pStyle w:val="TextBody"/>
        <w:bidi w:val="0"/>
        <w:spacing w:before="0" w:after="0"/>
        <w:ind w:left="132" w:right="132" w:hanging="0"/>
        <w:jc w:val="both"/>
        <w:rPr>
          <w:caps w:val="false"/>
          <w:smallCaps w:val="false"/>
        </w:rPr>
      </w:pPr>
      <w:bookmarkStart w:id="144" w:name="xdx_807_eifrs-full--DisclosureOfMaterial"/>
      <w:bookmarkEnd w:id="144"/>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660" w:type="dxa"/>
            <w:tcBorders/>
            <w:vAlign w:val="center"/>
          </w:tcPr>
          <w:p>
            <w:pPr>
              <w:pStyle w:val="TableContents"/>
              <w:bidi w:val="0"/>
              <w:spacing w:before="0" w:after="283"/>
              <w:jc w:val="left"/>
              <w:rPr>
                <w:rFonts w:ascii="Times New Roman;Times;Serif" w:hAnsi="Times New Roman;Times;Serif"/>
                <w:b/>
                <w:sz w:val="20"/>
              </w:rPr>
            </w:pPr>
            <w:bookmarkStart w:id="145" w:name="xdx_820_zw770Z9beNRY"/>
            <w:bookmarkEnd w:id="145"/>
            <w:r>
              <w:rPr>
                <w:rFonts w:ascii="Times New Roman;Times;Serif" w:hAnsi="Times New Roman;Times;Serif"/>
                <w:b/>
                <w:sz w:val="20"/>
              </w:rPr>
              <w:t xml:space="preserve">Significant accounting policies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46" w:name="xdx_843_ecustom--DescriptionOfAccounting"/>
      <w:bookmarkEnd w:id="146"/>
      <w:r>
        <w:rPr>
          <w:rFonts w:ascii="Times New Roman;Times;Serif" w:hAnsi="Times New Roman;Times;Serif"/>
          <w:b/>
          <w:i w:val="false"/>
          <w:caps w:val="false"/>
          <w:smallCaps w:val="false"/>
          <w:sz w:val="20"/>
        </w:rPr>
        <w:t xml:space="preserve">1.1       </w:t>
      </w:r>
      <w:bookmarkStart w:id="147" w:name="xdx_86D_zHCIZj71Byce"/>
      <w:bookmarkEnd w:id="147"/>
      <w:r>
        <w:rPr>
          <w:rFonts w:ascii="Times New Roman;Times;Serif" w:hAnsi="Times New Roman;Times;Serif"/>
          <w:b/>
          <w:i w:val="false"/>
          <w:caps w:val="false"/>
          <w:smallCaps w:val="false"/>
          <w:sz w:val="20"/>
        </w:rPr>
        <w:t>Reporting period</w:t>
      </w:r>
    </w:p>
    <w:p>
      <w:pPr>
        <w:pStyle w:val="TextBody"/>
        <w:bidi w:val="0"/>
        <w:spacing w:before="0" w:after="0"/>
        <w:ind w:left="574" w:right="0" w:hanging="48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cover the financial years ended December 31, 2025 and 2024, as restated.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discussions with the Staff of the United States Securities and Exchange Commission during its review of the Company’s registration statement, Management reassessed the US reporting of, and has restated the accounting treatment applied to the February 2023 transfer of certain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consolidated financial statements, the intellectual property has been recognised at its predecessor carrying amount rather than any asset acquisition value previously recognised.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revision affects the carrying amount of intangible assets, share premium and deficit together with the associated amortisation expense recognised in the restated consolidated financial statement reporting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revision represents a change in the accounting treatment applied to the historical transaction for reporting purposes and does not affect:</w:t>
      </w:r>
    </w:p>
    <w:p>
      <w:pPr>
        <w:pStyle w:val="TextBody"/>
        <w:bidi w:val="0"/>
        <w:spacing w:before="0" w:after="0"/>
        <w:ind w:left="0" w:right="0" w:hanging="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25"/>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pPr>
            <w:r>
              <w:rPr/>
              <w:t>the legal ownership of the intellectual property;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pPr>
            <w:r>
              <w:rPr/>
              <w:t>the validity of the underlying transaction documentation;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pPr>
            <w:r>
              <w:rPr/>
              <w:t>the commercial rights associated with the intellectual property;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pPr>
            <w:r>
              <w:rPr/>
              <w:t>the Group's licensing arrangements;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485" w:type="dxa"/>
            <w:tcBorders/>
            <w:vAlign w:val="center"/>
          </w:tcPr>
          <w:p>
            <w:pPr>
              <w:pStyle w:val="TableContents"/>
              <w:bidi w:val="0"/>
              <w:spacing w:before="0" w:after="283"/>
              <w:jc w:val="both"/>
              <w:rPr/>
            </w:pPr>
            <w:r>
              <w:rPr/>
              <w:t>the Directors' strategy for commercialising the Group's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48" w:name="xdx_84B_eifrs-full--ExplanationOfMeasure"/>
      <w:bookmarkEnd w:id="148"/>
      <w:r>
        <w:rPr>
          <w:rFonts w:ascii="Times New Roman;Times;Serif" w:hAnsi="Times New Roman;Times;Serif"/>
          <w:b/>
          <w:i w:val="false"/>
          <w:caps w:val="false"/>
          <w:smallCaps w:val="false"/>
          <w:sz w:val="20"/>
        </w:rPr>
        <w:t xml:space="preserve">1.2       </w:t>
      </w:r>
      <w:bookmarkStart w:id="149" w:name="xdx_86E_zpxE5gx3oNsX"/>
      <w:bookmarkEnd w:id="149"/>
      <w:r>
        <w:rPr>
          <w:rFonts w:ascii="Times New Roman;Times;Serif" w:hAnsi="Times New Roman;Times;Serif"/>
          <w:b/>
          <w:i w:val="false"/>
          <w:caps w:val="false"/>
          <w:smallCaps w:val="false"/>
          <w:sz w:val="20"/>
        </w:rPr>
        <w:t>Accounting convention</w:t>
      </w:r>
    </w:p>
    <w:p>
      <w:pPr>
        <w:pStyle w:val="TextBody"/>
        <w:bidi w:val="0"/>
        <w:spacing w:before="0" w:after="0"/>
        <w:ind w:left="574" w:right="0" w:hanging="48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International Financial Reporting Standards (“IFRS”) as issued by the International Accounting Standards Board (“IASB”).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prepared in Euros, which is the functional currency of the Company. Monetary amounts in these consolidated financial statements are rounded to the nearest Euro, unless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under the historical cost convention. The principal accounting policies adopted are set out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consist of the financial statements of the parent Company, Davion Healthcare Plc, together with its wholly owned subsidiary, Davion Healthcare Ltd (Cyprus). On January 1, 2026 the Company acquired 100% of Davion Healthcare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financial statements are made up to December 31, 2025 and 2024. Where necessary, adjustments are made to the financial statements of the subsidiary to bring the accounting policies used into line with those used by other subsidiaries of the Company.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intra-Company transactions, balances and unrealised gains on transactions between the Company and its subsidiary are eliminated on consolidation. Unrealized losses are also eliminated unless the transaction provides evidence of an impairment of the asset transferred.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included in this Registration Statement have been prepared in accordance with International Financial Reporting Standards ("IFRS") as issued by the International Accounting Standards Board and reflect the accounting policies adopted for the purposes of this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discussions with the staff of the U.S. Securities and Exchange Commission during the review of this Registration Statement, the Company restated the historical accounting treatment applied to the February 2023 transfer of intellectual property. Accordingly, for the purposes of the financial statements included in this Registration Statement, the intellectual property is recognised at its predecessor carrying amount and is amortised on a straight-line basis over a finite useful economic life of ten years commencing on 6 February 2023. The comparative financial information has been restated to reflect this accounting treatment.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revisions reflected in these financial statements relate solely to the accounting measurement and presentation of the February 2023 transaction for the purposes of this Registration Statement. The revisions do not affect the legal validity of the Company's ownership of the intellectual property, the validity of the shares issued in connection with that transaction, the Company's patent portfolio, its licensing arrangements, its product portfolio or its commercial strategy.</w:t>
      </w:r>
    </w:p>
    <w:p>
      <w:pPr>
        <w:pStyle w:val="TextBody"/>
        <w:bidi w:val="0"/>
        <w:jc w:val="both"/>
        <w:rPr>
          <w:caps w:val="false"/>
          <w:smallCaps w:val="false"/>
        </w:rPr>
      </w:pPr>
      <w:r>
        <w:rPr>
          <w:caps w:val="false"/>
          <w:smallCaps w:val="false"/>
        </w:rPr>
        <w:t> </w:t>
      </w:r>
    </w:p>
    <w:p>
      <w:pPr>
        <w:pStyle w:val="TextBody"/>
        <w:bidi w:val="0"/>
        <w:jc w:val="both"/>
        <w:rPr/>
      </w:pPr>
      <w:r>
        <w:rPr/>
        <w:t>As a consequence of the restated accounting treatment, certain comparative balances, including intangible assets, accumulated amortisation, retained earnings, shareholders' equity and related disclosures, have been restated from those previously reported. The accompanying notes to the consolidated financial statements describe the nature and effect of these revisions.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0" w:name="xdx_23A_zjsObptmUOOk"/>
      <w:bookmarkEnd w:id="150"/>
      <w:r>
        <w:rPr>
          <w:caps w:val="false"/>
          <w:smallCaps w:val="false"/>
        </w:rPr>
        <w:t> </w:t>
      </w:r>
    </w:p>
    <w:p>
      <w:pPr>
        <w:pStyle w:val="TextBody"/>
        <w:bidi w:val="0"/>
        <w:spacing w:before="0" w:after="0"/>
        <w:ind w:left="0" w:right="0" w:hanging="0"/>
        <w:jc w:val="left"/>
        <w:rPr>
          <w:caps w:val="false"/>
          <w:smallCaps w:val="false"/>
        </w:rPr>
      </w:pPr>
      <w:bookmarkStart w:id="151" w:name="xdx_23F_zHoltadGIUKU"/>
      <w:bookmarkEnd w:id="151"/>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152" w:name="xdx_235_zBTnUExwPo3S"/>
      <w:bookmarkStart w:id="153" w:name="xdx_23D_zYd12qNBIbQu"/>
      <w:bookmarkEnd w:id="152"/>
      <w:bookmarkEnd w:id="15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4" w:name="xdx_234_zTLoOjT5rxQL"/>
      <w:bookmarkEnd w:id="154"/>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155" w:name="xdx_235_z7bmicSOyIhY"/>
      <w:bookmarkEnd w:id="15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6" w:name="xdx_23F_zpXySZzy75t8"/>
      <w:bookmarkEnd w:id="156"/>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157" w:name="xdx_239_zRxUSbd5CIRf"/>
      <w:bookmarkEnd w:id="15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8" w:name="xdx_239_zdOnmXQm0rjg"/>
      <w:bookmarkEnd w:id="158"/>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9" w:name="xdx_23E_zx0AUz9stwwy"/>
      <w:bookmarkEnd w:id="159"/>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160" w:name="xdx_233_zoeM9rKRn4Dt"/>
      <w:bookmarkStart w:id="161" w:name="xdx_234_z6Mc4SWnxMyq"/>
      <w:bookmarkEnd w:id="160"/>
      <w:bookmarkEnd w:id="161"/>
      <w:r>
        <w:rPr>
          <w:caps w:val="false"/>
          <w:smallCaps w:val="false"/>
        </w:rPr>
        <w:t> </w:t>
      </w:r>
    </w:p>
    <w:p>
      <w:pPr>
        <w:pStyle w:val="TextBody"/>
        <w:bidi w:val="0"/>
        <w:spacing w:before="0" w:after="0"/>
        <w:ind w:left="0" w:right="0" w:hanging="0"/>
        <w:jc w:val="left"/>
        <w:rPr>
          <w:caps w:val="false"/>
          <w:smallCaps w:val="false"/>
        </w:rPr>
      </w:pPr>
      <w:bookmarkStart w:id="162" w:name="xdx_23A_zDgAcDkdvt9A"/>
      <w:bookmarkEnd w:id="162"/>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63" w:name="xdx_845_eifrs-full--DescriptionOfUncerta"/>
      <w:bookmarkEnd w:id="163"/>
      <w:r>
        <w:rPr>
          <w:rFonts w:ascii="Times New Roman;Times;Serif" w:hAnsi="Times New Roman;Times;Serif"/>
          <w:b/>
          <w:i w:val="false"/>
          <w:caps w:val="false"/>
          <w:smallCaps w:val="false"/>
          <w:sz w:val="20"/>
        </w:rPr>
        <w:t xml:space="preserve">1.3       </w:t>
      </w:r>
      <w:bookmarkStart w:id="164" w:name="xdx_863_zWcPjWOmSYr4"/>
      <w:bookmarkEnd w:id="164"/>
      <w:r>
        <w:rPr>
          <w:rFonts w:ascii="Times New Roman;Times;Serif" w:hAnsi="Times New Roman;Times;Serif"/>
          <w:b/>
          <w:i w:val="false"/>
          <w:caps w:val="false"/>
          <w:smallCaps w:val="false"/>
          <w:sz w:val="20"/>
        </w:rPr>
        <w:t>Liquidity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 loss of €</w:t>
      </w:r>
      <w:bookmarkStart w:id="165" w:name="xdx_905_eifrs-full--ProfitLoss_iN_di_c20"/>
      <w:bookmarkEnd w:id="165"/>
      <w:r>
        <w:rPr>
          <w:rFonts w:ascii="Times New Roman;Times;Serif" w:hAnsi="Times New Roman;Times;Serif"/>
          <w:b w:val="false"/>
          <w:i w:val="false"/>
          <w:caps w:val="false"/>
          <w:smallCaps w:val="false"/>
          <w:sz w:val="20"/>
        </w:rPr>
        <w:t>1,128,807 for the year ended December 31, 2025, and the Company’s current assets exceeded its current liabilities by €</w:t>
      </w:r>
      <w:bookmarkStart w:id="166" w:name="xdx_903_eifrs-full--OtherCurrentFinancia"/>
      <w:bookmarkEnd w:id="166"/>
      <w:r>
        <w:rPr>
          <w:rFonts w:ascii="Times New Roman;Times;Serif" w:hAnsi="Times New Roman;Times;Serif"/>
          <w:b w:val="false"/>
          <w:i w:val="false"/>
          <w:caps w:val="false"/>
          <w:smallCaps w:val="false"/>
          <w:sz w:val="20"/>
        </w:rPr>
        <w:t>52,087. The Company has received a letter of support from its Chief Executive Officer stating that he will continue to support the Company for a period of 12 months from the approval of these consolidated financial statements. Management has concluded that based on all relevant factors, management does not believe that any material uncertainties exist that would cast significant doubt on Davion’s ability to continue as a going concern. See Note 3 Critical accounting policies and judgments for additional information on management’s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67" w:name="xdx_848_eifrs-full--DescriptionOfAccount"/>
      <w:bookmarkEnd w:id="167"/>
      <w:r>
        <w:rPr>
          <w:rFonts w:ascii="Times New Roman;Times;Serif" w:hAnsi="Times New Roman;Times;Serif"/>
          <w:b/>
          <w:i w:val="false"/>
          <w:caps w:val="false"/>
          <w:smallCaps w:val="false"/>
          <w:sz w:val="20"/>
        </w:rPr>
        <w:t xml:space="preserve">1.4       </w:t>
      </w:r>
      <w:bookmarkStart w:id="168" w:name="xdx_866_zVzi0Y4HSUnT"/>
      <w:bookmarkEnd w:id="168"/>
      <w:r>
        <w:rPr>
          <w:rFonts w:ascii="Times New Roman;Times;Serif" w:hAnsi="Times New Roman;Times;Serif"/>
          <w:b/>
          <w:i w:val="false"/>
          <w:caps w:val="false"/>
          <w:smallCaps w:val="false"/>
          <w:sz w:val="20"/>
        </w:rPr>
        <w:t>Intangible assets other than goodwill</w:t>
      </w:r>
    </w:p>
    <w:p>
      <w:pPr>
        <w:pStyle w:val="TextBody"/>
        <w:bidi w:val="0"/>
        <w:spacing w:before="0" w:after="0"/>
        <w:ind w:left="574" w:right="0" w:hanging="487"/>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acquired separately are initially measured at cost or, where applicable, at fair value depending on the nature of the underlying transaction and the form of consideration transferred.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are considered to have finite useful economic lives and are amortised on a straight-line basis over their estimated useful economic life of 10 years from the date the asset is available for use. In respect of the intellectual property transferred in February 2023, amortisation commenced on 6 February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amortisation charge is recognised within profit or loss. The useful economic life, residual value and amortisation method are reviewed at each reporting date and adjusted prospectively where appropriate to reflect changes in expected patterns of consumption of the future economic benefits embodied in the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intangible asset is derecognised on disposal or when no future economic benefits are expected from its use or disposal. Any gain or loss arising on derecognition is recognised in profit or loss and is measured as the difference between the net disposal proceeds and the carrying amount of the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Company assesses whether there is any indication that an intangible asset may be impaired. Where such an indication exists, the recoverable amount of the asset is estimated. The recoverable amount is the higher of its fair value less costs of disposal and its value in use.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recoverable amount of an asset is estimated to be less than its carrying amount, the carrying amount is reduced to its recoverable amount and an impairment loss is recognised immediately in profit or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 impairment loss subsequently reverses, the carrying amount of the asset is increased to the revised estimate of its recoverable amount, provided that the increased carrying amount does not exceed the carrying amount that would have been determined had no impairment loss been recognised in prior periods. Any reversal of an impairment loss is recognised immediately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9" w:name="xdx_232_z1wXxaIJk19y"/>
      <w:bookmarkEnd w:id="169"/>
      <w:r>
        <w:rPr>
          <w:caps w:val="false"/>
          <w:smallCaps w:val="false"/>
        </w:rPr>
        <w:t> </w:t>
      </w:r>
    </w:p>
    <w:p>
      <w:pPr>
        <w:pStyle w:val="TextBody"/>
        <w:bidi w:val="0"/>
        <w:spacing w:before="0" w:after="0"/>
        <w:ind w:left="0" w:right="0" w:hanging="0"/>
        <w:jc w:val="left"/>
        <w:rPr>
          <w:caps w:val="false"/>
          <w:smallCaps w:val="false"/>
        </w:rPr>
      </w:pPr>
      <w:bookmarkStart w:id="170" w:name="xdx_231_zyCVCHDxQqfV"/>
      <w:bookmarkEnd w:id="170"/>
      <w:r>
        <w:rPr>
          <w:caps w:val="false"/>
          <w:smallCaps w:val="false"/>
        </w:rPr>
        <w:t> </w:t>
      </w:r>
    </w:p>
    <w:p>
      <w:pPr>
        <w:pStyle w:val="TextBody"/>
        <w:bidi w:val="0"/>
        <w:spacing w:before="0" w:after="0"/>
        <w:ind w:left="0" w:right="0" w:hanging="0"/>
        <w:jc w:val="left"/>
        <w:rPr>
          <w:caps w:val="false"/>
          <w:smallCaps w:val="false"/>
        </w:rPr>
      </w:pPr>
      <w:bookmarkStart w:id="171" w:name="xdx_23F_zlwxtvOOesD_z70dqzuxgRaD"/>
      <w:bookmarkEnd w:id="17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172" w:name="xdx_230_z3MDASZuOV3f"/>
      <w:bookmarkStart w:id="173" w:name="xdx_238_zPdsMOgZaEA4"/>
      <w:bookmarkEnd w:id="172"/>
      <w:bookmarkEnd w:id="17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4" w:name="xdx_23C_zw4E6S4UctUl"/>
      <w:bookmarkEnd w:id="174"/>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175" w:name="xdx_23F_z01aTfwj3RvF"/>
      <w:bookmarkEnd w:id="17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6" w:name="xdx_231_z5HRhEClFder"/>
      <w:bookmarkEnd w:id="176"/>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177" w:name="xdx_23A_zzCRMVR0MB3J"/>
      <w:bookmarkEnd w:id="17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8" w:name="xdx_23D_zEtiGYSIZ7Kc"/>
      <w:bookmarkEnd w:id="178"/>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9" w:name="xdx_231_zaTvFEuBiBWq"/>
      <w:bookmarkEnd w:id="179"/>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180" w:name="xdx_23B_zXjjH4SCqQ3g"/>
      <w:bookmarkEnd w:id="180"/>
      <w:r>
        <w:rPr>
          <w:caps w:val="false"/>
          <w:smallCaps w:val="false"/>
        </w:rPr>
        <w:t> </w:t>
      </w:r>
    </w:p>
    <w:p>
      <w:pPr>
        <w:pStyle w:val="TextBody"/>
        <w:bidi w:val="0"/>
        <w:spacing w:before="0" w:after="0"/>
        <w:ind w:left="0" w:right="0" w:hanging="0"/>
        <w:jc w:val="left"/>
        <w:rPr>
          <w:caps w:val="false"/>
          <w:smallCaps w:val="false"/>
        </w:rPr>
      </w:pPr>
      <w:bookmarkStart w:id="181" w:name="xdx_23C_znWE2KYkMLc8"/>
      <w:bookmarkEnd w:id="181"/>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82" w:name="xdx_848_eifrs-full--DescriptionOfAccount"/>
      <w:bookmarkEnd w:id="182"/>
      <w:r>
        <w:rPr>
          <w:rFonts w:ascii="Times New Roman;Times;Serif" w:hAnsi="Times New Roman;Times;Serif"/>
          <w:b/>
          <w:i w:val="false"/>
          <w:caps w:val="false"/>
          <w:smallCaps w:val="false"/>
          <w:sz w:val="20"/>
        </w:rPr>
        <w:t xml:space="preserve">1.5       </w:t>
      </w:r>
      <w:bookmarkStart w:id="183" w:name="xdx_867_zeeHPOQm9hAd"/>
      <w:bookmarkEnd w:id="183"/>
      <w:r>
        <w:rPr>
          <w:rFonts w:ascii="Times New Roman;Times;Serif" w:hAnsi="Times New Roman;Times;Serif"/>
          <w:b/>
          <w:i w:val="false"/>
          <w:caps w:val="false"/>
          <w:smallCaps w:val="false"/>
          <w:sz w:val="20"/>
        </w:rPr>
        <w:t>Impairment of tangible and intangible assets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end date, the Company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with indefinite useful lives and intangible assets not yet available for use are tested for impairment annually, and whenever there is an indication that the asset may be impaired. The Company’s recognised intellectual property at December 31, 2025 and 2024 has a finite useful life and is therefore not included within the category of indefinite-lived intangible assets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recoverable amount of an asset (or cash-generating unit) is estimated to be less than its carrying amount, the carrying amount of the asset (or cash-generating unit) is reduced to its recoverable amount. An impairment loss is recognised immediately in profit or loss, unless the relevant asset is carried at a revalued amount, in which case the impairment loss is treated as a revaluation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 impairment loss subsequently reverses, the carrying amount of the asset (or cash-generating unit) is increased to the revised estimate of its recoverable amount, but so that the increased carrying amount does not exceed the carrying amount that would have been determined had no impairment loss been recognised for the asset (or cash-generating unit) in prior years. A reversal of an impairment loss is recognised immediately in profit or loss, unless the relevant asset is carried at a revalued amount, in which case the reversal of the impairment loss is treated as a revaluation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84" w:name="xdx_84B_eifrs-full--DescriptionOfAccount"/>
      <w:bookmarkEnd w:id="184"/>
      <w:r>
        <w:rPr>
          <w:rFonts w:ascii="Times New Roman;Times;Serif" w:hAnsi="Times New Roman;Times;Serif"/>
          <w:b/>
          <w:i w:val="false"/>
          <w:caps w:val="false"/>
          <w:smallCaps w:val="false"/>
          <w:sz w:val="20"/>
        </w:rPr>
        <w:t xml:space="preserve">1.6       </w:t>
      </w:r>
      <w:bookmarkStart w:id="185" w:name="xdx_86F_zoXxGdTEOmvm"/>
      <w:bookmarkEnd w:id="185"/>
      <w:r>
        <w:rPr>
          <w:rFonts w:ascii="Times New Roman;Times;Serif" w:hAnsi="Times New Roman;Times;Serif"/>
          <w:b/>
          <w:i w:val="false"/>
          <w:caps w:val="false"/>
          <w:smallCaps w:val="false"/>
          <w:sz w:val="20"/>
        </w:rPr>
        <w:t>Cash and cash equivalents</w:t>
      </w:r>
    </w:p>
    <w:p>
      <w:pPr>
        <w:pStyle w:val="TextBody"/>
        <w:bidi w:val="0"/>
        <w:spacing w:before="0" w:after="0"/>
        <w:ind w:left="574" w:right="0" w:hanging="48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banks, other short-term liquid investments with original maturities of three months or less, and bank overdrafts. Bank overdrafts are shown within borrowings in current liabilities. Cash and cash equivalents are carried at amortised cost because (i) they are held for collection of contractual cash flows and those cash flows represent sole payments of principal and interest, and (ii) they are not designated at Fair Value through Profit and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6" w:name="xdx_230_zAYK03gy5Pbu"/>
      <w:bookmarkEnd w:id="186"/>
      <w:r>
        <w:rPr>
          <w:caps w:val="false"/>
          <w:smallCaps w:val="false"/>
        </w:rPr>
        <w:t> </w:t>
      </w:r>
    </w:p>
    <w:p>
      <w:pPr>
        <w:pStyle w:val="TextBody"/>
        <w:bidi w:val="0"/>
        <w:spacing w:before="0" w:after="0"/>
        <w:ind w:left="0" w:right="0" w:hanging="0"/>
        <w:jc w:val="left"/>
        <w:rPr>
          <w:caps w:val="false"/>
          <w:smallCaps w:val="false"/>
        </w:rPr>
      </w:pPr>
      <w:bookmarkStart w:id="187" w:name="xdx_23B_zoYUWXaC0sbJ"/>
      <w:bookmarkEnd w:id="187"/>
      <w:r>
        <w:rPr>
          <w:caps w:val="false"/>
          <w:smallCaps w:val="false"/>
        </w:rPr>
        <w:t> </w:t>
      </w:r>
    </w:p>
    <w:p>
      <w:pPr>
        <w:pStyle w:val="TextBody"/>
        <w:bidi w:val="0"/>
        <w:spacing w:before="0" w:after="0"/>
        <w:ind w:left="0" w:right="0" w:hanging="0"/>
        <w:jc w:val="left"/>
        <w:rPr>
          <w:caps w:val="false"/>
          <w:smallCaps w:val="false"/>
        </w:rPr>
      </w:pPr>
      <w:bookmarkStart w:id="188" w:name="xdx_239_zn2V4maLWt6o"/>
      <w:bookmarkEnd w:id="18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189" w:name="xdx_234_z7MzTXRBsfXr"/>
      <w:bookmarkStart w:id="190" w:name="xdx_237_zNwNhNUim0BK"/>
      <w:bookmarkEnd w:id="189"/>
      <w:bookmarkEnd w:id="19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1" w:name="xdx_232_zF4HOBrs53KU"/>
      <w:bookmarkEnd w:id="191"/>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192" w:name="xdx_232_zLg1xkX0edZ1"/>
      <w:bookmarkEnd w:id="19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3" w:name="xdx_235_zH8uLdnUY6iW"/>
      <w:bookmarkEnd w:id="193"/>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194" w:name="xdx_23D_zoycIUtRWda2"/>
      <w:bookmarkEnd w:id="19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5" w:name="xdx_238_zChCiCIvlLlW"/>
      <w:bookmarkEnd w:id="195"/>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6" w:name="xdx_23D_zs12Qj9V5Boq"/>
      <w:bookmarkEnd w:id="196"/>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197" w:name="xdx_230_zLyAfrxr7RBq"/>
      <w:bookmarkEnd w:id="197"/>
      <w:r>
        <w:rPr>
          <w:caps w:val="false"/>
          <w:smallCaps w:val="false"/>
        </w:rPr>
        <w:t> </w:t>
      </w:r>
    </w:p>
    <w:p>
      <w:pPr>
        <w:pStyle w:val="TextBody"/>
        <w:bidi w:val="0"/>
        <w:spacing w:before="0" w:after="0"/>
        <w:ind w:left="0" w:right="0" w:hanging="0"/>
        <w:jc w:val="left"/>
        <w:rPr>
          <w:caps w:val="false"/>
          <w:smallCaps w:val="false"/>
        </w:rPr>
      </w:pPr>
      <w:bookmarkStart w:id="198" w:name="xdx_230_zmbffS4gI2h_zijuP7JzTCrq"/>
      <w:bookmarkEnd w:id="198"/>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199" w:name="xdx_84A_eifrs-full--DescriptionOfAccount"/>
      <w:bookmarkEnd w:id="199"/>
      <w:r>
        <w:rPr>
          <w:rFonts w:ascii="Times New Roman;Times;Serif" w:hAnsi="Times New Roman;Times;Serif"/>
          <w:b/>
          <w:i w:val="false"/>
          <w:caps w:val="false"/>
          <w:smallCaps w:val="false"/>
          <w:sz w:val="20"/>
        </w:rPr>
        <w:t xml:space="preserve">1.7       </w:t>
      </w:r>
      <w:bookmarkStart w:id="200" w:name="xdx_863_zd6g74kLVgb7"/>
      <w:bookmarkEnd w:id="200"/>
      <w:r>
        <w:rPr>
          <w:rFonts w:ascii="Times New Roman;Times;Serif" w:hAnsi="Times New Roman;Times;Serif"/>
          <w:b/>
          <w:i w:val="false"/>
          <w:caps w:val="false"/>
          <w:smallCaps w:val="false"/>
          <w:sz w:val="20"/>
        </w:rPr>
        <w:t>Financial assets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recognised in the Company’s consolidated statement of financial position when the Company becomes party to the contractual provisions of the instrument. Financial assets are classified into specified categories, depending on the nature and purpose of the financial assets.</w:t>
      </w:r>
    </w:p>
    <w:p>
      <w:pPr>
        <w:pStyle w:val="TextBody"/>
        <w:bidi w:val="0"/>
        <w:spacing w:before="0" w:after="0"/>
        <w:ind w:left="132" w:right="13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purchases and sales of financial assets that require delivery within the time frame established by regulation or market convention (“regular way” purchases and sales) are recorded at trade date, which is the date when the Company commits to deliver a financial instrument. All other purchases and sales are recognised when the entity becomes a party to the contractual provisions of the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derecognised when the rights to receive cash flows from the financial assets have expired or have been transferred and the Company has transferred substantially all the risks and rewards of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assets at fair value through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13 establishes a single source of guidance for all fair value measurements. IFRS 13 does not change when an entity is required to use fair value, but rather provides guidance on how to measure fair value under IFRS when fair value is required or permitted. The resulting calculations under IFRS 13 affected the principles that the Company uses to assess the fair value, but the assessment of fair value under IFRS 13 has not materially changed the fair values recognised or disclosed. IFRS 13 mainly impacts the disclosures of the Company. It requires specific disclosures about fair value measurements and disclosures of fair values, some of which replace existing disclosure requirements in other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assets held at amortised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are classified as financial assets measured at amortised cost where the objective is to hold these assets in order to collect contractual cash flows, and the contractual cash flows are solely payments of principal and interest. They arise principally from the provision of goods and services to customers (e.g, trade receivables). They are initially recognised at fair value plus transaction costs directly attributable to their acquisition or issue, and are subsequently carried at amortised cost using the effective interest rate method, less provision for impairment where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carried at amortised cost and Fair Value Through Other Comprehensive Income are assessed for indicators of impairment at each reporting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credit losses associated with these assets are estimated on a forward-looking basis. A broad range of information is considered when assessing credit risk and measuring expected credit losses, including past events, current conditions, and reasonable and supportable forecasts that affect the expected collectability of the future cash flows of the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trade receivables, the simplified approach permitted by IFRS 9 is applied, which requires expected lifetime losses to be recognised from initial recognition of the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01" w:name="xdx_237_zcfC6JykpWFG"/>
      <w:bookmarkEnd w:id="20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202" w:name="xdx_239_zxo407ZmpZ2V"/>
      <w:bookmarkEnd w:id="20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3" w:name="xdx_231_zf6GI38hBz3w"/>
      <w:bookmarkStart w:id="204" w:name="xdx_231_z5Zb4HmJkTPw"/>
      <w:bookmarkEnd w:id="203"/>
      <w:bookmarkEnd w:id="204"/>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05" w:name="xdx_23D_zQ1EJ7w5rH6d"/>
      <w:bookmarkEnd w:id="20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6" w:name="xdx_230_zbKp3orfLbmB"/>
      <w:bookmarkEnd w:id="206"/>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07" w:name="xdx_237_zYati5rO7TBu"/>
      <w:bookmarkEnd w:id="20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8" w:name="xdx_23A_zYuXPLfELHff"/>
      <w:bookmarkEnd w:id="208"/>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9" w:name="xdx_234_zRmdcAWrCZEh"/>
      <w:bookmarkEnd w:id="209"/>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210" w:name="xdx_233_zwfVJsez0683"/>
      <w:bookmarkEnd w:id="210"/>
      <w:r>
        <w:rPr>
          <w:caps w:val="false"/>
          <w:smallCaps w:val="false"/>
        </w:rPr>
        <w:t> </w:t>
      </w:r>
    </w:p>
    <w:p>
      <w:pPr>
        <w:pStyle w:val="TextBody"/>
        <w:bidi w:val="0"/>
        <w:spacing w:before="0" w:after="0"/>
        <w:ind w:left="0" w:right="0" w:hanging="0"/>
        <w:jc w:val="left"/>
        <w:rPr>
          <w:caps w:val="false"/>
          <w:smallCaps w:val="false"/>
        </w:rPr>
      </w:pPr>
      <w:bookmarkStart w:id="211" w:name="xdx_23C_zlAOscigmrJQ"/>
      <w:bookmarkEnd w:id="21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Derecognition of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derecognised only when the contractual rights to the cash flows from the asset expire, or when it transfers the financial asset and substantially all the risks and rewards of ownership to another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12" w:name="xdx_842_eifrs-full--DescriptionOfAccount"/>
      <w:bookmarkEnd w:id="212"/>
      <w:r>
        <w:rPr>
          <w:rFonts w:ascii="Times New Roman;Times;Serif" w:hAnsi="Times New Roman;Times;Serif"/>
          <w:b/>
          <w:i w:val="false"/>
          <w:caps w:val="false"/>
          <w:smallCaps w:val="false"/>
          <w:sz w:val="20"/>
        </w:rPr>
        <w:t xml:space="preserve">1.8       </w:t>
      </w:r>
      <w:bookmarkStart w:id="213" w:name="xdx_860_z28dtMZommZo"/>
      <w:bookmarkEnd w:id="213"/>
      <w:r>
        <w:rPr>
          <w:rFonts w:ascii="Times New Roman;Times;Serif" w:hAnsi="Times New Roman;Times;Serif"/>
          <w:b/>
          <w:i w:val="false"/>
          <w:caps w:val="false"/>
          <w:smallCaps w:val="false"/>
          <w:sz w:val="20"/>
        </w:rPr>
        <w:t>Financial liabilities</w:t>
      </w:r>
    </w:p>
    <w:p>
      <w:pPr>
        <w:pStyle w:val="TextBody"/>
        <w:bidi w:val="0"/>
        <w:spacing w:before="0" w:after="0"/>
        <w:ind w:left="574" w:right="0" w:hanging="48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financial debt when the Company becomes a party to the contractual provisions of the instruments. Financial liabilities are classified as either “financial liabilities at fair value through profit or loss” or “other financial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liabilities, including borrowings, trade payables and other short-term monetary liabilities, are initially measured at fair value net of transaction costs directly attributable to the issuance of the financial liability. They are subsequently measured at amortised cost using the effective interest method. For the purposes of each financial liability, interest expense includes initial transaction costs and any premium payable on redemption, as well as any interest or coupon payable while the liability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Derecognition of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derecognised when, and only when, the Company’s obligations are discharged, cancelled, or they expire.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14" w:name="xdx_846_ecustom--DescriptionOfAccounting"/>
      <w:bookmarkEnd w:id="214"/>
      <w:r>
        <w:rPr>
          <w:rFonts w:ascii="Times New Roman;Times;Serif" w:hAnsi="Times New Roman;Times;Serif"/>
          <w:b/>
          <w:i w:val="false"/>
          <w:caps w:val="false"/>
          <w:smallCaps w:val="false"/>
          <w:sz w:val="20"/>
        </w:rPr>
        <w:t xml:space="preserve">1.9       </w:t>
      </w:r>
      <w:bookmarkStart w:id="215" w:name="xdx_86A_zsPjkYzVnvPJ"/>
      <w:bookmarkEnd w:id="215"/>
      <w:r>
        <w:rPr>
          <w:rFonts w:ascii="Times New Roman;Times;Serif" w:hAnsi="Times New Roman;Times;Serif"/>
          <w:b/>
          <w:i w:val="false"/>
          <w:caps w:val="false"/>
          <w:smallCaps w:val="false"/>
          <w:sz w:val="20"/>
        </w:rPr>
        <w:t>Equity instruments</w:t>
      </w:r>
    </w:p>
    <w:p>
      <w:pPr>
        <w:pStyle w:val="TextBody"/>
        <w:bidi w:val="0"/>
        <w:spacing w:before="0" w:after="0"/>
        <w:ind w:left="574" w:right="0" w:hanging="48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instruments issued by the Company are recorded at the proceeds received or at the fair value of shares issued, net of direct issue costs, as appropriate. Dividends payable on equity instruments are recognised as liabilities once they are no longer at the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16" w:name="xdx_84C_eifrs-full--DescriptionOfAccount"/>
      <w:bookmarkEnd w:id="216"/>
      <w:r>
        <w:rPr>
          <w:rFonts w:ascii="Times New Roman;Times;Serif" w:hAnsi="Times New Roman;Times;Serif"/>
          <w:b/>
          <w:i w:val="false"/>
          <w:caps w:val="false"/>
          <w:smallCaps w:val="false"/>
          <w:sz w:val="20"/>
        </w:rPr>
        <w:t xml:space="preserve">1.10    </w:t>
      </w:r>
      <w:bookmarkStart w:id="217" w:name="xdx_869_z75rtYQT8Bwp"/>
      <w:bookmarkEnd w:id="217"/>
      <w:r>
        <w:rPr>
          <w:rFonts w:ascii="Times New Roman;Times;Serif" w:hAnsi="Times New Roman;Times;Serif"/>
          <w:b/>
          <w:i w:val="false"/>
          <w:caps w:val="false"/>
          <w:smallCaps w:val="false"/>
          <w:sz w:val="20"/>
        </w:rPr>
        <w:t>Taxation</w:t>
      </w:r>
    </w:p>
    <w:p>
      <w:pPr>
        <w:pStyle w:val="TextBody"/>
        <w:bidi w:val="0"/>
        <w:spacing w:before="0" w:after="0"/>
        <w:ind w:left="573" w:right="0" w:hanging="48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represents the sum of the tax currently payable and deferred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currently payable is based on taxable profit for the year. Taxable profit differs from net profit as reported in the Consolidated Statements of Operations because it excludes items of income or expense that are taxable or deductible in other years and it further excludes items that are never taxable or deductible. The Company’s liability for current tax is calculated using tax rates that have been enacted or substantively enacted by the reporting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18" w:name="xdx_23C_zzXQ6xF2aUnt"/>
      <w:bookmarkEnd w:id="218"/>
      <w:r>
        <w:rPr>
          <w:caps w:val="false"/>
          <w:smallCaps w:val="false"/>
        </w:rPr>
        <w:t> </w:t>
      </w:r>
    </w:p>
    <w:p>
      <w:pPr>
        <w:pStyle w:val="TextBody"/>
        <w:bidi w:val="0"/>
        <w:spacing w:before="0" w:after="0"/>
        <w:ind w:left="0" w:right="0" w:hanging="0"/>
        <w:jc w:val="left"/>
        <w:rPr>
          <w:caps w:val="false"/>
          <w:smallCaps w:val="false"/>
        </w:rPr>
      </w:pPr>
      <w:bookmarkStart w:id="219" w:name="xdx_233_zOmLFzNr2L1s"/>
      <w:bookmarkEnd w:id="219"/>
      <w:r>
        <w:rPr>
          <w:caps w:val="false"/>
          <w:smallCaps w:val="false"/>
        </w:rPr>
        <w:t> </w:t>
      </w:r>
    </w:p>
    <w:p>
      <w:pPr>
        <w:pStyle w:val="TextBody"/>
        <w:bidi w:val="0"/>
        <w:spacing w:before="0" w:after="0"/>
        <w:ind w:left="0" w:right="0" w:hanging="0"/>
        <w:jc w:val="left"/>
        <w:rPr>
          <w:caps w:val="false"/>
          <w:smallCaps w:val="false"/>
        </w:rPr>
      </w:pPr>
      <w:bookmarkStart w:id="220" w:name="xdx_23B_zBDL62wHwOBl"/>
      <w:bookmarkEnd w:id="22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221" w:name="xdx_236_z9rX7kU1knSk"/>
      <w:bookmarkStart w:id="222" w:name="xdx_236_zQZlWWdTVbZy"/>
      <w:bookmarkEnd w:id="221"/>
      <w:bookmarkEnd w:id="22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3" w:name="xdx_23D_zNiUGUlz941A"/>
      <w:bookmarkEnd w:id="223"/>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24" w:name="xdx_23B_z2ATZ2qi8GqB"/>
      <w:bookmarkEnd w:id="22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5" w:name="xdx_23B_zASpq9sKcrLx"/>
      <w:bookmarkEnd w:id="225"/>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26" w:name="xdx_234_z0FLE5sy1hx_zEZE0cMU3V66"/>
      <w:bookmarkEnd w:id="22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7" w:name="xdx_234_zQnfvTxsUq3i"/>
      <w:bookmarkEnd w:id="227"/>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8" w:name="xdx_238_ztVtFTndBRwI"/>
      <w:bookmarkEnd w:id="228"/>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229" w:name="xdx_23A_zji5Afddwvom"/>
      <w:bookmarkEnd w:id="229"/>
      <w:r>
        <w:rPr>
          <w:caps w:val="false"/>
          <w:smallCaps w:val="false"/>
        </w:rPr>
        <w:t> </w:t>
      </w:r>
    </w:p>
    <w:p>
      <w:pPr>
        <w:pStyle w:val="TextBody"/>
        <w:bidi w:val="0"/>
        <w:spacing w:before="0" w:after="0"/>
        <w:ind w:left="0" w:right="0" w:hanging="0"/>
        <w:jc w:val="left"/>
        <w:rPr>
          <w:caps w:val="false"/>
          <w:smallCaps w:val="false"/>
        </w:rPr>
      </w:pPr>
      <w:bookmarkStart w:id="230" w:name="xdx_23F_zLGZ5gqTqCc_zaJTaW3xWu3M"/>
      <w:bookmarkStart w:id="231" w:name="xdx_23D_zP3yzGxH18qZ"/>
      <w:bookmarkEnd w:id="230"/>
      <w:bookmarkEnd w:id="23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the tax expected to be payable or recoverable on differences between the carrying amounts of assets and liabilities in the consolidated financial statements and the corresponding tax bases used in the computation of taxable profit, and is accounted for using the balance sheet liability method. Deferred tax liabilities are generally recognised for all taxable temporary differences, and deferred tax assets are recognised to the extent that it is probable that taxable profits will be available against which deductible temporary differences, can be utilised. Such assets and liabilities are not recognised if the temporary difference arises from goodwill or from the initial recognition of other assets and liabilities in a transaction that affects neither the tax profit nor the accounting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had unutilised corporation tax assets of €</w:t>
      </w:r>
      <w:bookmarkStart w:id="232" w:name="xdx_905_eifrs-full--CurrentTaxAssetsCurr"/>
      <w:bookmarkEnd w:id="232"/>
      <w:r>
        <w:rPr>
          <w:rFonts w:ascii="Times New Roman;Times;Serif" w:hAnsi="Times New Roman;Times;Serif"/>
          <w:b w:val="false"/>
          <w:i w:val="false"/>
          <w:caps w:val="false"/>
          <w:smallCaps w:val="false"/>
          <w:sz w:val="20"/>
        </w:rPr>
        <w:t>931,583 (2024: €</w:t>
      </w:r>
      <w:bookmarkStart w:id="233" w:name="xdx_904_eifrs-full--CurrentTaxAssetsCurr"/>
      <w:bookmarkEnd w:id="233"/>
      <w:r>
        <w:rPr>
          <w:rFonts w:ascii="Times New Roman;Times;Serif" w:hAnsi="Times New Roman;Times;Serif"/>
          <w:b w:val="false"/>
          <w:i w:val="false"/>
          <w:caps w:val="false"/>
          <w:smallCaps w:val="false"/>
          <w:sz w:val="20"/>
        </w:rPr>
        <w:t xml:space="preserve">828,586) available for offset against future taxable profits. These losses arise in the Ireland and Cyprus tax jurisdiction and may be carried forward indefinitely under local tax legislation. In accordance with IAS 12 –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no deferred tax asset has been recognised in respect of these losses due to the uncertainty regarding the availability of sufficient future taxable profits against which the losses can be utilised. Management will continue to assess the recoverability of these tax losses and will recognise a deferred tax asset when it is considered probable that future taxable profits will be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34" w:name="xdx_843_eifrs-full--DescriptionOfAccount"/>
      <w:bookmarkEnd w:id="234"/>
      <w:r>
        <w:rPr>
          <w:rFonts w:ascii="Times New Roman;Times;Serif" w:hAnsi="Times New Roman;Times;Serif"/>
          <w:b/>
          <w:i w:val="false"/>
          <w:caps w:val="false"/>
          <w:smallCaps w:val="false"/>
          <w:sz w:val="20"/>
        </w:rPr>
        <w:t xml:space="preserve">1.11    </w:t>
      </w:r>
      <w:bookmarkStart w:id="235" w:name="xdx_866_zsmpwx5fotj0"/>
      <w:bookmarkEnd w:id="235"/>
      <w:r>
        <w:rPr>
          <w:rFonts w:ascii="Times New Roman;Times;Serif" w:hAnsi="Times New Roman;Times;Serif"/>
          <w:b/>
          <w:i w:val="false"/>
          <w:caps w:val="false"/>
          <w:smallCaps w:val="false"/>
          <w:sz w:val="20"/>
        </w:rPr>
        <w:t>Foreign exchange</w:t>
      </w:r>
    </w:p>
    <w:p>
      <w:pPr>
        <w:pStyle w:val="TextBody"/>
        <w:bidi w:val="0"/>
        <w:spacing w:before="0" w:after="0"/>
        <w:ind w:left="573" w:right="0" w:hanging="48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currencies other than euros are recorded at the rates of exchange prevailing at the dates of the transactions. At each reporting end date, monetary assets and liabilities that are denominated in foreign currencies are remeasured at the rates prevailing on the reporting end date. Gains and losses arising on remeasurement in the period are included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36" w:name="xdx_844_eifrs-full--DescriptionOfAccount"/>
      <w:bookmarkEnd w:id="236"/>
      <w:r>
        <w:rPr>
          <w:rFonts w:ascii="Times New Roman;Times;Serif" w:hAnsi="Times New Roman;Times;Serif"/>
          <w:b/>
          <w:i w:val="false"/>
          <w:caps w:val="false"/>
          <w:smallCaps w:val="false"/>
          <w:sz w:val="20"/>
        </w:rPr>
        <w:t xml:space="preserve">1.12    </w:t>
      </w:r>
      <w:bookmarkStart w:id="237" w:name="xdx_86F_z5K0LkqvEzUQ"/>
      <w:bookmarkEnd w:id="237"/>
      <w:r>
        <w:rPr>
          <w:rFonts w:ascii="Times New Roman;Times;Serif" w:hAnsi="Times New Roman;Times;Serif"/>
          <w:b/>
          <w:i w:val="false"/>
          <w:caps w:val="false"/>
          <w:smallCaps w:val="false"/>
          <w:sz w:val="20"/>
        </w:rPr>
        <w:t>Research and development costs</w:t>
      </w:r>
    </w:p>
    <w:p>
      <w:pPr>
        <w:pStyle w:val="TextBody"/>
        <w:bidi w:val="0"/>
        <w:spacing w:before="0" w:after="0"/>
        <w:ind w:left="573" w:right="0" w:hanging="48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expenditures are written off against profits in the year in which it is incurred. Identifiable development expenditure is capitalised to the extent that the technical, commercial and financial feasibility can be demonstrated.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38" w:name="xdx_84B_eifrs-full--DescriptionOfAccount"/>
      <w:bookmarkEnd w:id="238"/>
      <w:r>
        <w:rPr>
          <w:rFonts w:ascii="Times New Roman;Times;Serif" w:hAnsi="Times New Roman;Times;Serif"/>
          <w:b/>
          <w:i w:val="false"/>
          <w:caps w:val="false"/>
          <w:smallCaps w:val="false"/>
          <w:sz w:val="20"/>
        </w:rPr>
        <w:t xml:space="preserve">1.13    </w:t>
      </w:r>
      <w:bookmarkStart w:id="239" w:name="xdx_869_zCiH9E1vgQz_zDuvtynK40Vw"/>
      <w:bookmarkEnd w:id="239"/>
      <w:r>
        <w:rPr>
          <w:rFonts w:ascii="Times New Roman;Times;Serif" w:hAnsi="Times New Roman;Times;Serif"/>
          <w:b/>
          <w:i w:val="false"/>
          <w:caps w:val="false"/>
          <w:smallCaps w:val="false"/>
          <w:sz w:val="20"/>
        </w:rPr>
        <w:t>Segments</w:t>
      </w:r>
    </w:p>
    <w:p>
      <w:pPr>
        <w:pStyle w:val="TextBody"/>
        <w:bidi w:val="0"/>
        <w:spacing w:before="0" w:after="0"/>
        <w:ind w:left="573" w:right="0" w:hanging="48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0" w:name="xdx_904_eifrs-full--FactorsUsedToIdentif"/>
      <w:bookmarkEnd w:id="240"/>
      <w:r>
        <w:rPr>
          <w:rFonts w:ascii="Times New Roman;Times;Serif" w:hAnsi="Times New Roman;Times;Serif"/>
          <w:b w:val="false"/>
          <w:i w:val="false"/>
          <w:caps w:val="false"/>
          <w:smallCaps w:val="false"/>
          <w:sz w:val="20"/>
        </w:rPr>
        <w:t>The Company has been operating as a single segment for financial reporting purposes since its inception. The Chief Operating Decision Maker is the CEO who is responsible for making all decisions regarding the use of capital. Less than 1% of the Company’s total assets are located in Ireland.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41" w:name="xdx_237_zuXlITobjmTA"/>
      <w:bookmarkEnd w:id="241"/>
      <w:r>
        <w:rPr>
          <w:caps w:val="false"/>
          <w:smallCaps w:val="false"/>
        </w:rPr>
        <w:t> </w:t>
      </w:r>
    </w:p>
    <w:p>
      <w:pPr>
        <w:pStyle w:val="TextBody"/>
        <w:bidi w:val="0"/>
        <w:spacing w:before="0" w:after="0"/>
        <w:ind w:left="0" w:right="0" w:hanging="0"/>
        <w:jc w:val="both"/>
        <w:rPr>
          <w:caps w:val="false"/>
          <w:smallCaps w:val="false"/>
        </w:rPr>
      </w:pPr>
      <w:bookmarkStart w:id="242" w:name="xdx_232_zKHM0JZyghNf"/>
      <w:bookmarkEnd w:id="24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43" w:name="xdx_238_z6Yqgk3TCJaN"/>
      <w:bookmarkEnd w:id="24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4" w:name="xdx_23B_z96hioEG2HYX"/>
      <w:bookmarkEnd w:id="244"/>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45" w:name="xdx_232_zZ6o863Se7Ha"/>
      <w:bookmarkEnd w:id="24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6" w:name="xdx_234_zkRVq3V0Omj0"/>
      <w:bookmarkEnd w:id="246"/>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47" w:name="xdx_23E_znUMwnsh0W8z"/>
      <w:bookmarkEnd w:id="24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8" w:name="xdx_23F_zreDhUKPEgfy"/>
      <w:bookmarkEnd w:id="248"/>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9" w:name="xdx_23E_zKeOyetAGWqw"/>
      <w:bookmarkEnd w:id="249"/>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250" w:name="xdx_236_zTMM2hyXy0c9"/>
      <w:bookmarkEnd w:id="250"/>
      <w:r>
        <w:rPr>
          <w:caps w:val="false"/>
          <w:smallCaps w:val="false"/>
        </w:rPr>
        <w:t> </w:t>
      </w:r>
    </w:p>
    <w:p>
      <w:pPr>
        <w:pStyle w:val="TextBody"/>
        <w:bidi w:val="0"/>
        <w:spacing w:before="0" w:after="0"/>
        <w:ind w:left="0" w:right="0" w:hanging="0"/>
        <w:jc w:val="both"/>
        <w:rPr>
          <w:caps w:val="false"/>
          <w:smallCaps w:val="false"/>
        </w:rPr>
      </w:pPr>
      <w:bookmarkStart w:id="251" w:name="xdx_239_zBX91Znjodi_zCeNkUptRfnp"/>
      <w:bookmarkEnd w:id="251"/>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52" w:name="xdx_84F_eifrs-full--DescriptionOfAccount"/>
      <w:bookmarkEnd w:id="252"/>
      <w:r>
        <w:rPr>
          <w:rFonts w:ascii="Times New Roman;Times;Serif" w:hAnsi="Times New Roman;Times;Serif"/>
          <w:b/>
          <w:i w:val="false"/>
          <w:caps w:val="false"/>
          <w:smallCaps w:val="false"/>
          <w:sz w:val="20"/>
        </w:rPr>
        <w:t xml:space="preserve">1.14    </w:t>
      </w:r>
      <w:bookmarkStart w:id="253" w:name="xdx_86B_zeNrTUhXTslb"/>
      <w:bookmarkEnd w:id="253"/>
      <w:r>
        <w:rPr>
          <w:rFonts w:ascii="Times New Roman;Times;Serif" w:hAnsi="Times New Roman;Times;Serif"/>
          <w:b/>
          <w:i w:val="false"/>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IFRS 15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which establishes a five-step model for recognizing revenue arising from contracts with customers. Revenue is recognized when control of promised goods or services is transferred to the customer in an amount that reflects the consideration to which the Company expects to be entitled. Where the Company generates revenue primarily from licensing arrangements that grant third parties rights to use the Company’s intellectual property (“IP”), which may include proprietary technology, know-how, trademarks, and related platform access. Licensing arrangements may include fixed license fees, minimum guaranteed payments, milestone payments, and sales- or usage-based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contracts using the following steps:</w:t>
      </w:r>
    </w:p>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200"/>
        <w:gridCol w:w="69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1.</w:t>
            </w:r>
          </w:p>
        </w:tc>
        <w:tc>
          <w:tcPr>
            <w:tcW w:w="6920" w:type="dxa"/>
            <w:tcBorders/>
            <w:vAlign w:val="center"/>
          </w:tcPr>
          <w:p>
            <w:pPr>
              <w:pStyle w:val="TableContents"/>
              <w:bidi w:val="0"/>
              <w:spacing w:before="0" w:after="283"/>
              <w:jc w:val="both"/>
              <w:rPr/>
            </w:pPr>
            <w:r>
              <w:rPr/>
              <w:t>Identification of the contract with a customer</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2.</w:t>
            </w:r>
          </w:p>
        </w:tc>
        <w:tc>
          <w:tcPr>
            <w:tcW w:w="6920" w:type="dxa"/>
            <w:tcBorders/>
            <w:vAlign w:val="center"/>
          </w:tcPr>
          <w:p>
            <w:pPr>
              <w:pStyle w:val="TableContents"/>
              <w:bidi w:val="0"/>
              <w:spacing w:before="0" w:after="283"/>
              <w:jc w:val="both"/>
              <w:rPr/>
            </w:pPr>
            <w:r>
              <w:rPr/>
              <w:t>Identification of performance obligations in the contract</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3.</w:t>
            </w:r>
          </w:p>
        </w:tc>
        <w:tc>
          <w:tcPr>
            <w:tcW w:w="6920" w:type="dxa"/>
            <w:tcBorders/>
            <w:vAlign w:val="center"/>
          </w:tcPr>
          <w:p>
            <w:pPr>
              <w:pStyle w:val="TableContents"/>
              <w:bidi w:val="0"/>
              <w:spacing w:before="0" w:after="283"/>
              <w:jc w:val="both"/>
              <w:rPr/>
            </w:pPr>
            <w:r>
              <w:rPr/>
              <w:t>Determination of the transaction price</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4.</w:t>
            </w:r>
          </w:p>
        </w:tc>
        <w:tc>
          <w:tcPr>
            <w:tcW w:w="6920" w:type="dxa"/>
            <w:tcBorders/>
            <w:vAlign w:val="center"/>
          </w:tcPr>
          <w:p>
            <w:pPr>
              <w:pStyle w:val="TableContents"/>
              <w:bidi w:val="0"/>
              <w:spacing w:before="0" w:after="283"/>
              <w:jc w:val="both"/>
              <w:rPr/>
            </w:pPr>
            <w:r>
              <w:rPr/>
              <w:t>Allocation of the transaction price to performance obligations</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5.</w:t>
            </w:r>
          </w:p>
        </w:tc>
        <w:tc>
          <w:tcPr>
            <w:tcW w:w="6920" w:type="dxa"/>
            <w:tcBorders/>
            <w:vAlign w:val="center"/>
          </w:tcPr>
          <w:p>
            <w:pPr>
              <w:pStyle w:val="TableContents"/>
              <w:bidi w:val="0"/>
              <w:spacing w:before="0" w:after="283"/>
              <w:jc w:val="both"/>
              <w:rPr/>
            </w:pPr>
            <w:r>
              <w:rPr/>
              <w:t>Recognition of revenue when or as performance obligations are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Licensing of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nature of licenses granted to determine whether they represent a right to access intellectual property, or a right to use intellectual property as it exists at the point in time the license is granted. Licenses that provide a right to use intellectual property are typically satisfied at a point in time, generally when the license is made available to the licensee and the license period begins. Licenses that provide a right to access intellectual property, where the Company is expected to undertake activities that significantly affect the intellectual property during the license term, are satisfied over time during the license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Fixed License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licensing arrangements include fixed license fees or fixed minimum payments that are contractually payable regardless of the licensee’s future sales or usage. Where the license represents a right to use intellectual property, the fixed license fee is generally recognized at the point in time when the license is transferred to the licensee, provided that collectability of the consideration is probable. Where the license represents a right to access intellectual property, the fixed license fee is recognized over the license period, typically on a straight-line basis or another measure that reflects the pattern of transfer of control. Installment payments of fixed license fees are recognized as revenue when the underlying performance obligation is satisfied, and the Company records a contract asset or receivable when the right to payment becomes unconditional.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license agreements provide for minimum guaranteed payments, which may be structured as: minimum royalty payments; minimum annual license fees; or advance royalty payments. Minimum guaranteed amounts represent fixed consideration under the contract. These amounts are included in the transaction price at contract inception, subject to the Company’s assessment of collectability. When minimum guaranteed payments relate to a license that is satisfied at a point in time, the minimum guaranteed consideration is recognized when the license is made available to the licensee. When minimum guaranteed payments relate to a license that is satisfied over time, revenue is recognized over the period the license provides access to the intellectual property, unless another pattern better reflects the transfer of the licensed rights. Where minimum guaranteed payments represent advance royalties, such amounts are initially recorded as contract liabilities and recognized as revenue as the underlying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54" w:name="xdx_23F_zcDH3H0BeJ14"/>
      <w:bookmarkEnd w:id="25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255" w:name="xdx_236_zbBUj8ZzjOb5"/>
      <w:bookmarkEnd w:id="25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6" w:name="xdx_238_zUAHbArjHXAg"/>
      <w:bookmarkEnd w:id="256"/>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57" w:name="xdx_231_z7ao44uc1BfX"/>
      <w:bookmarkEnd w:id="25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8" w:name="xdx_23E_zCYSQwu29DTh"/>
      <w:bookmarkEnd w:id="258"/>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59" w:name="xdx_236_zn5IrOnM5oPw"/>
      <w:bookmarkEnd w:id="25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0" w:name="xdx_231_zoM5qjdFFIEY"/>
      <w:bookmarkEnd w:id="260"/>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1" w:name="xdx_236_z56VOK0vr0IS"/>
      <w:bookmarkEnd w:id="261"/>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262" w:name="xdx_232_zrk3kcV2WSxP"/>
      <w:bookmarkEnd w:id="262"/>
      <w:r>
        <w:rPr>
          <w:caps w:val="false"/>
          <w:smallCaps w:val="false"/>
        </w:rPr>
        <w:t> </w:t>
      </w:r>
    </w:p>
    <w:p>
      <w:pPr>
        <w:pStyle w:val="TextBody"/>
        <w:bidi w:val="0"/>
        <w:spacing w:before="0" w:after="0"/>
        <w:ind w:left="0" w:right="0" w:hanging="0"/>
        <w:jc w:val="left"/>
        <w:rPr>
          <w:caps w:val="false"/>
          <w:smallCaps w:val="false"/>
        </w:rPr>
      </w:pPr>
      <w:bookmarkStart w:id="263" w:name="xdx_231_zyvqIaCEoVOX"/>
      <w:bookmarkEnd w:id="263"/>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licensing agreements may include sales-based or usage-based royalties payable by licensees based on the licensee’s sales of products incorporating the Company’s intellectual property or based on other usage metrics. In accordance with the sales- or usage-based royalty exception in IFRS 15, royalty revenue is recognized only when the subsequent sales or usage occur, which is the point at which the uncertainty associated with the variable consideration is resolved. Accordingly, royalty revenue is recognized in the period in which the licensee’s underlying sales or usage occurs, as reported by the licensee. To the extent that minimum guaranteed royalties exceed the royalties earned based on actual sales or usage, the guaranteed amount is recognized as revenue in accordance with the pattern of satisfaction of the underlying license performance obligation. If royalties earned based on actual sales exceed the minimum guaranteed amounts, the excess royalty revenue is recognized in the period in which the underlying sales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or services transferred to customers when that right is conditional on something other than the passage of time. Contract liabilities represent payments received in advance of the Company satisfying the related performance obligations, including advances of license fees or royalty payments. Contract liabilities are recognized as revenue when the Company satisfies the associated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64" w:name="xdx_84F_eifrs-full--DescriptionOfAccount"/>
      <w:bookmarkEnd w:id="264"/>
      <w:r>
        <w:rPr>
          <w:rFonts w:ascii="Times New Roman;Times;Serif" w:hAnsi="Times New Roman;Times;Serif"/>
          <w:b/>
          <w:i w:val="false"/>
          <w:caps w:val="false"/>
          <w:smallCaps w:val="false"/>
          <w:sz w:val="20"/>
        </w:rPr>
        <w:t xml:space="preserve">1.15    </w:t>
      </w:r>
      <w:bookmarkStart w:id="265" w:name="xdx_86A_zxJ9bmFMCNYy"/>
      <w:bookmarkEnd w:id="265"/>
      <w:r>
        <w:rPr>
          <w:rFonts w:ascii="Times New Roman;Times;Serif" w:hAnsi="Times New Roman;Times;Serif"/>
          <w:b/>
          <w:i w:val="false"/>
          <w:caps w:val="false"/>
          <w:smallCaps w:val="false"/>
          <w:sz w:val="20"/>
        </w:rPr>
        <w:t>Share-based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share-based payment transactions in accordance with IFRS 2 –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Share-based payment transactions occur when the Company receives goods or services as consideration for equity instruments of the Company or for amounts based on the value of the Company’s equity instruments. The Company may grant equity instruments to employees, directors, consultants and other service providers as compensation for services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Equity-settled share-based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Equity-settled share-based payments are measured at the fair value of the equity instruments granted at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determined at the grant date is recognized as an expense, together with a corresponding increase in equity, over the vesting period, which represents the period during which the relevant services are rendered. At the end of each reporting period, the Company revises its estimates of the number of equity instruments expected to vest based on the assessment of vesting conditions. The impact of the revision of the original estimates, if any, is recognized in profit or loss such that the cumulative expense reflects the revised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expense is recognized for awards that do not ultimately vest because non-market vesting conditions have not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66" w:name="xdx_23E_zW7ddI86PSAF"/>
      <w:bookmarkEnd w:id="266"/>
      <w:r>
        <w:rPr>
          <w:caps w:val="false"/>
          <w:smallCaps w:val="false"/>
        </w:rPr>
        <w:t> </w:t>
      </w:r>
    </w:p>
    <w:p>
      <w:pPr>
        <w:pStyle w:val="TextBody"/>
        <w:bidi w:val="0"/>
        <w:spacing w:before="0" w:after="0"/>
        <w:ind w:left="0" w:right="0" w:hanging="0"/>
        <w:jc w:val="both"/>
        <w:rPr>
          <w:caps w:val="false"/>
          <w:smallCaps w:val="false"/>
        </w:rPr>
      </w:pPr>
      <w:bookmarkStart w:id="267" w:name="xdx_23A_zo2AOf4xorWT"/>
      <w:bookmarkEnd w:id="26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68" w:name="xdx_237_zd1AqAl5OtzH"/>
      <w:bookmarkEnd w:id="26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9" w:name="xdx_234_zruswsxvWE6X"/>
      <w:bookmarkEnd w:id="269"/>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70" w:name="xdx_235_zql6V443nbWr"/>
      <w:bookmarkEnd w:id="27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1" w:name="xdx_23D_zFodaCFjzncs"/>
      <w:bookmarkEnd w:id="271"/>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72" w:name="xdx_231_zYzYXv4vDsx_zwVha3nY41eH"/>
      <w:bookmarkEnd w:id="27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3" w:name="xdx_238_zg7hwJkOsiIQ"/>
      <w:bookmarkEnd w:id="273"/>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4" w:name="xdx_233_zpA4PyieZCu2"/>
      <w:bookmarkEnd w:id="274"/>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caps w:val="false"/>
          <w:smallCaps w:val="false"/>
        </w:rPr>
      </w:pPr>
      <w:bookmarkStart w:id="275" w:name="xdx_234_zi1SX5Eb6YDO"/>
      <w:bookmarkEnd w:id="275"/>
      <w:r>
        <w:rPr>
          <w:caps w:val="false"/>
          <w:smallCaps w:val="false"/>
        </w:rPr>
        <w:t> </w:t>
      </w:r>
    </w:p>
    <w:p>
      <w:pPr>
        <w:pStyle w:val="TextBody"/>
        <w:bidi w:val="0"/>
        <w:spacing w:before="0" w:after="0"/>
        <w:ind w:left="0" w:right="0" w:hanging="0"/>
        <w:jc w:val="both"/>
        <w:rPr>
          <w:caps w:val="false"/>
          <w:smallCaps w:val="false"/>
        </w:rPr>
      </w:pPr>
      <w:bookmarkStart w:id="276" w:name="xdx_23A_znpVtNCEvuRD"/>
      <w:bookmarkEnd w:id="2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Cash-settled share-based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cash-settled share-based payment transactions, the Company recognizes a liability for the goods or services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is measured initially and at each reporting date until settlement at the fair value of the liability, with changes in fair value recognized in profit or loss for the period. The liability is recognized over the vesting period, based on the Company’s estimate of the number of awards expected to 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Transactions with non-employees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payments issued to consultants, advisors and other non-employees in exchange for services are measured at the fair value of the goods or services received. If the fair value of the services received cannot be reliably measured, the transaction is measured by reference to the fair value of the equity instruments granted. The fair value of the equity instruments is measured at the date the entity obtains the goods or the counterparty renders the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conditions may include service conditions or performance conditions. Service conditions require the counterparty to complete a specified period of service. Performance conditions require specified performance targets to be achieved. Where awards vest upon the occurrence of a non-market performance condition, such as the completion of a financing transaction or a successful public listing, expense is recognized only when it becomes probable that the vesting condition will be satisfied. If the vesting condition is not satisfied, no expense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are performance conditions related to the market price of the Company’s equity instruments. Market conditions are reflected in the grant-date fair value of the equity instruments granted and are not subsequently adjusted for actual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Measurement of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share-based payment awards using appropriate valuation techniques. For option-based awards, the Company typically uses the Black-Scholes option pricing model or other appropriate valuation methodologies. The valuation models incorporate assumptions including:</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125"/>
        <w:gridCol w:w="221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210" w:type="dxa"/>
            <w:tcBorders/>
            <w:vAlign w:val="center"/>
          </w:tcPr>
          <w:p>
            <w:pPr>
              <w:pStyle w:val="TableContents"/>
              <w:bidi w:val="0"/>
              <w:spacing w:before="0" w:after="283"/>
              <w:jc w:val="both"/>
              <w:rPr>
                <w:sz w:val="20"/>
              </w:rPr>
            </w:pPr>
            <w:r>
              <w:rPr>
                <w:sz w:val="20"/>
              </w:rPr>
              <w:t>expected volatility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210" w:type="dxa"/>
            <w:tcBorders/>
            <w:vAlign w:val="center"/>
          </w:tcPr>
          <w:p>
            <w:pPr>
              <w:pStyle w:val="TableContents"/>
              <w:bidi w:val="0"/>
              <w:spacing w:before="0" w:after="283"/>
              <w:jc w:val="both"/>
              <w:rPr/>
            </w:pPr>
            <w:r>
              <w:rPr/>
              <w:t>r</w:t>
            </w:r>
            <w:r>
              <w:rPr>
                <w:sz w:val="20"/>
              </w:rPr>
              <w:t>isk-free interest rate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210" w:type="dxa"/>
            <w:tcBorders/>
            <w:vAlign w:val="center"/>
          </w:tcPr>
          <w:p>
            <w:pPr>
              <w:pStyle w:val="TableContents"/>
              <w:bidi w:val="0"/>
              <w:spacing w:before="0" w:after="283"/>
              <w:jc w:val="both"/>
              <w:rPr>
                <w:sz w:val="20"/>
              </w:rPr>
            </w:pPr>
            <w:r>
              <w:rPr>
                <w:sz w:val="20"/>
              </w:rPr>
              <w:t>expected term of the award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2210" w:type="dxa"/>
            <w:tcBorders/>
            <w:vAlign w:val="center"/>
          </w:tcPr>
          <w:p>
            <w:pPr>
              <w:pStyle w:val="TableContents"/>
              <w:bidi w:val="0"/>
              <w:spacing w:before="0" w:after="283"/>
              <w:jc w:val="both"/>
              <w:rPr>
                <w:sz w:val="20"/>
              </w:rPr>
            </w:pPr>
            <w:r>
              <w:rPr>
                <w:sz w:val="20"/>
              </w:rPr>
              <w:t>expected 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assumptions are determined using management’s best estimates and observable market data where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77" w:name="xdx_235_zaOiWY5xAtYz"/>
      <w:bookmarkEnd w:id="277"/>
      <w:r>
        <w:rPr>
          <w:caps w:val="false"/>
          <w:smallCaps w:val="false"/>
        </w:rPr>
        <w:t> </w:t>
      </w:r>
    </w:p>
    <w:p>
      <w:pPr>
        <w:pStyle w:val="TextBody"/>
        <w:bidi w:val="0"/>
        <w:spacing w:before="0" w:after="0"/>
        <w:ind w:left="0" w:right="0" w:hanging="0"/>
        <w:jc w:val="both"/>
        <w:rPr>
          <w:caps w:val="false"/>
          <w:smallCaps w:val="false"/>
        </w:rPr>
      </w:pPr>
      <w:bookmarkStart w:id="278" w:name="xdx_233_zQWTaEvmZdp9"/>
      <w:bookmarkEnd w:id="27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79" w:name="xdx_23B_zNXftt7xinQg"/>
      <w:bookmarkEnd w:id="27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0" w:name="xdx_23C_ziIyjyQVWbui"/>
      <w:bookmarkEnd w:id="280"/>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81" w:name="xdx_232_zqSGlkITDlsN"/>
      <w:bookmarkEnd w:id="28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2" w:name="xdx_233_zUF7Jxf37YRp"/>
      <w:bookmarkEnd w:id="282"/>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83" w:name="xdx_238_zQ0BnyBGtHw6"/>
      <w:bookmarkEnd w:id="28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4" w:name="xdx_234_zL6ZStG1iEB2"/>
      <w:bookmarkEnd w:id="284"/>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5" w:name="xdx_233_ztL4GLh96NP9"/>
      <w:bookmarkEnd w:id="285"/>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286" w:name="xdx_23B_zwAvmF4P1Lep"/>
      <w:bookmarkEnd w:id="286"/>
      <w:r>
        <w:rPr>
          <w:caps w:val="false"/>
          <w:smallCaps w:val="false"/>
        </w:rPr>
        <w:t> </w:t>
      </w:r>
    </w:p>
    <w:p>
      <w:pPr>
        <w:pStyle w:val="TextBody"/>
        <w:bidi w:val="0"/>
        <w:spacing w:before="0" w:after="0"/>
        <w:ind w:left="0" w:right="0" w:hanging="0"/>
        <w:jc w:val="both"/>
        <w:rPr>
          <w:caps w:val="false"/>
          <w:smallCaps w:val="false"/>
        </w:rPr>
      </w:pPr>
      <w:bookmarkStart w:id="287" w:name="xdx_23E_z1SFHyv1HGlz"/>
      <w:bookmarkEnd w:id="28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Share-based payments related to capital markets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equity instruments to advisors, consultants or other service providers in connection with capital raising or public listing transactions. Where equity instruments are issued in exchange for advisory or professional services, the transaction is accounted for as an equity-settled share-based payment. If the issuance of equity instruments is contingent upon the successful completion of a transaction, such as a public listing, the Company recognizes expense only when the performance condition has been satisfied. The share-based payment expense is measured at the fair value of the equity instruments issued at the date the condition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Presentation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expenses are recognized in profit or loss within operating expenses, unless the services received qualify for capitalization as part of the cost of an asset under another IFRS standard. The corresponding credit is recognized within equity, typically within share premium or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Modification, cancellation and settlement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terms of an equity-settled share-based payment arrangement are modified, the Company recognizes, at a minimum, the expense based on the grant-date fair value of the original award. Any incremental fair value granted is recognized over the remaining vesting period. If an award is cancelled or settled during the vesting period, the Company recognizes immediately the amount that would otherwise have been recognized over the remainder of the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288" w:name="xdx_84F_ecustom--DescriptionOfAccounting"/>
      <w:bookmarkEnd w:id="288"/>
      <w:r>
        <w:rPr>
          <w:rFonts w:ascii="Times New Roman;Times;Serif" w:hAnsi="Times New Roman;Times;Serif"/>
          <w:b/>
          <w:i w:val="false"/>
          <w:caps w:val="false"/>
          <w:smallCaps w:val="false"/>
          <w:sz w:val="20"/>
        </w:rPr>
        <w:t xml:space="preserve">1.16    </w:t>
      </w:r>
      <w:bookmarkStart w:id="289" w:name="xdx_86B_zFcxiBMKgXnJ"/>
      <w:bookmarkEnd w:id="289"/>
      <w:r>
        <w:rPr>
          <w:rFonts w:ascii="Times New Roman;Times;Serif" w:hAnsi="Times New Roman;Times;Serif"/>
          <w:b/>
          <w:i w:val="false"/>
          <w:caps w:val="false"/>
          <w:smallCaps w:val="false"/>
          <w:sz w:val="20"/>
        </w:rPr>
        <w:t>Cloud computing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cloud computing arrangements for infrastructure and application hosting. The Company evaluates these arrangements to determine whether they contain a lease under IFRS 16. If the arrangement does not convey the right to control the use of an identified asset, the arrangement is accounted for as a service contract. Fees paid for cloud infrastructure and software-as-a-service (“SaaS”) solutions are recognized as operating expenses as the services are received. Costs incurred to configure or customize cloud computing arrangements are expensed as incurred unless those costs result in the creation of a separately identifiable intangible asset controlled by the Company. Payments made in advance of the related service period are recognized as prepaid assets and amortized over the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90" w:name="xdx_238_zPUC7WFMrP1N"/>
      <w:bookmarkEnd w:id="29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291" w:name="xdx_231_zS4veWWe85VN"/>
      <w:bookmarkEnd w:id="29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2" w:name="xdx_23F_z4JWS2IvB85Q"/>
      <w:bookmarkEnd w:id="292"/>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293" w:name="xdx_234_zfBZiGxFMJgN"/>
      <w:bookmarkEnd w:id="29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4" w:name="xdx_230_zgAMwEHabKHO"/>
      <w:bookmarkEnd w:id="294"/>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295" w:name="xdx_237_zorM2LyP0NrH"/>
      <w:bookmarkEnd w:id="29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6" w:name="xdx_237_zxbucWhJsTfv"/>
      <w:bookmarkEnd w:id="296"/>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7" w:name="xdx_23E_znag61fvLjY_zF2Pu3AdRwRz"/>
      <w:bookmarkEnd w:id="297"/>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caps w:val="false"/>
          <w:smallCaps w:val="false"/>
        </w:rPr>
      </w:pPr>
      <w:bookmarkStart w:id="298" w:name="xdx_239_z9FsU4tjbPHB"/>
      <w:bookmarkEnd w:id="298"/>
      <w:r>
        <w:rPr>
          <w:caps w:val="false"/>
          <w:smallCaps w:val="false"/>
        </w:rPr>
        <w:t> </w:t>
      </w:r>
    </w:p>
    <w:p>
      <w:pPr>
        <w:pStyle w:val="TextBody"/>
        <w:bidi w:val="0"/>
        <w:spacing w:before="0" w:after="0"/>
        <w:ind w:left="0" w:right="0" w:hanging="0"/>
        <w:jc w:val="left"/>
        <w:rPr>
          <w:caps w:val="false"/>
          <w:smallCaps w:val="false"/>
        </w:rPr>
      </w:pPr>
      <w:bookmarkStart w:id="299" w:name="xdx_230_zaNpOW0W6sUc"/>
      <w:bookmarkEnd w:id="299"/>
      <w:r>
        <w:rPr>
          <w:caps w:val="false"/>
          <w:smallCaps w:val="false"/>
        </w:rPr>
        <w:t> </w:t>
      </w:r>
    </w:p>
    <w:p>
      <w:pPr>
        <w:pStyle w:val="TextBody"/>
        <w:bidi w:val="0"/>
        <w:spacing w:before="0" w:after="0"/>
        <w:ind w:left="0" w:right="0" w:firstLine="400"/>
        <w:jc w:val="left"/>
        <w:rPr>
          <w:rFonts w:ascii="Times New Roman;Times;Serif" w:hAnsi="Times New Roman;Times;Serif"/>
          <w:b/>
          <w:i w:val="false"/>
          <w:caps w:val="false"/>
          <w:smallCaps w:val="false"/>
          <w:sz w:val="20"/>
        </w:rPr>
      </w:pPr>
      <w:bookmarkStart w:id="300" w:name="xdx_848_eifrs-full--DescriptionOfAccount"/>
      <w:bookmarkEnd w:id="300"/>
      <w:r>
        <w:rPr>
          <w:rFonts w:ascii="Times New Roman;Times;Serif" w:hAnsi="Times New Roman;Times;Serif"/>
          <w:b/>
          <w:i w:val="false"/>
          <w:caps w:val="false"/>
          <w:smallCaps w:val="false"/>
          <w:sz w:val="20"/>
        </w:rPr>
        <w:t xml:space="preserve">1.17    </w:t>
      </w:r>
      <w:bookmarkStart w:id="301" w:name="xdx_866_z0IUfq1natEL"/>
      <w:bookmarkEnd w:id="301"/>
      <w:r>
        <w:rPr>
          <w:rFonts w:ascii="Times New Roman;Times;Serif" w:hAnsi="Times New Roman;Times;Serif"/>
          <w:b/>
          <w:i w:val="false"/>
          <w:caps w:val="false"/>
          <w:smallCaps w:val="false"/>
          <w:sz w:val="20"/>
        </w:rPr>
        <w:t>Fair Value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financial reporting purposes, fair value measurements are categorized into Level 1, 2 or 3 based on the degree to which inputs to the fair value measurements are observable and the significance of the inputs to the fair value measurement in its entirety, which are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valuation techniques for which the lowest level of inputs which have a significant effect on the recorded fair value are observable, either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valuation techniques for which the lowest level of inputs that have a significant effect on the recorded fair value are not based on observable market data.</w:t>
      </w:r>
    </w:p>
    <w:p>
      <w:pPr>
        <w:pStyle w:val="TextBody"/>
        <w:bidi w:val="0"/>
        <w:spacing w:before="0" w:after="0"/>
        <w:ind w:left="0" w:right="0" w:hanging="0"/>
        <w:jc w:val="left"/>
        <w:rPr>
          <w:caps w:val="false"/>
          <w:smallCaps w:val="false"/>
        </w:rPr>
      </w:pPr>
      <w:bookmarkStart w:id="302" w:name="xdx_80F_eifrs-full--DisclosureOfChangesI"/>
      <w:bookmarkEnd w:id="302"/>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140"/>
        <w:gridCol w:w="978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785" w:type="dxa"/>
            <w:tcBorders/>
            <w:vAlign w:val="center"/>
          </w:tcPr>
          <w:p>
            <w:pPr>
              <w:pStyle w:val="TableContents"/>
              <w:bidi w:val="0"/>
              <w:spacing w:before="0" w:after="283"/>
              <w:jc w:val="left"/>
              <w:rPr>
                <w:rFonts w:ascii="Times New Roman;Times;Serif" w:hAnsi="Times New Roman;Times;Serif"/>
                <w:b/>
                <w:sz w:val="20"/>
              </w:rPr>
            </w:pPr>
            <w:bookmarkStart w:id="303" w:name="xdx_82E_zS7vJuzdsmXt"/>
            <w:bookmarkEnd w:id="303"/>
            <w:r>
              <w:rPr>
                <w:rFonts w:ascii="Times New Roman;Times;Serif" w:hAnsi="Times New Roman;Times;Serif"/>
                <w:b/>
                <w:sz w:val="20"/>
              </w:rPr>
              <w:t>Adoption of new and revised IFRS accounting standards, new accounting policies and changes in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4" w:name="xdx_868_zqG7CK76FkFj"/>
      <w:bookmarkStart w:id="305" w:name="xdx_841_ecustom--DescriptionOfAccounting"/>
      <w:bookmarkEnd w:id="304"/>
      <w:bookmarkEnd w:id="305"/>
      <w:r>
        <w:rPr>
          <w:rFonts w:ascii="Times New Roman;Times;Serif" w:hAnsi="Times New Roman;Times;Serif"/>
          <w:b/>
          <w:i/>
          <w:caps w:val="false"/>
          <w:smallCaps w:val="false"/>
          <w:sz w:val="20"/>
        </w:rPr>
        <w:t>Adoption of new and revised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qualifies as an emerging growth company under the JOBS Act. However, because the Company prepares its consolidated financial statements in accordance with IFRS Accounting Standards as issued by the International Accounting Standards Board, the Company adopts new and amended IFRS Accounting Standards when they become effective under IFRS.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6" w:name="xdx_866_zN7ElnaXxGy3"/>
      <w:bookmarkStart w:id="307" w:name="xdx_844_ecustom--DescriptionOfAccounting"/>
      <w:bookmarkEnd w:id="306"/>
      <w:bookmarkEnd w:id="307"/>
      <w:r>
        <w:rPr>
          <w:rFonts w:ascii="Times New Roman;Times;Serif" w:hAnsi="Times New Roman;Times;Serif"/>
          <w:b/>
          <w:i/>
          <w:caps w:val="false"/>
          <w:smallCaps w:val="false"/>
          <w:sz w:val="20"/>
        </w:rPr>
        <w:t>Standards and amendments effective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amendments are effective for annual periods beginning on or after January 1, 2025, and have been adopted by the Company: </w:t>
      </w:r>
      <w:r>
        <w:rPr>
          <w:rFonts w:ascii="Times New Roman;Times;Serif" w:hAnsi="Times New Roman;Times;Serif"/>
          <w:b w:val="false"/>
          <w:i/>
          <w:caps w:val="false"/>
          <w:smallCaps w:val="false"/>
          <w:sz w:val="20"/>
        </w:rPr>
        <w:t>Lack of Exchangeability (Amendments to IAS 21)</w:t>
      </w:r>
      <w:r>
        <w:rPr>
          <w:rFonts w:ascii="Times New Roman;Times;Serif" w:hAnsi="Times New Roman;Times;Serif"/>
          <w:b w:val="false"/>
          <w:i w:val="false"/>
          <w:caps w:val="false"/>
          <w:smallCaps w:val="false"/>
          <w:sz w:val="20"/>
        </w:rPr>
        <w:t>. These amendments provide guidance for assessing whether a currency is exchangeable into another currency and, when it is not, for determining the exchange rate to be used and related disclosures. The adoption of these amendments did not have a material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considered the continuing application of recently effective amendments, including </w:t>
      </w:r>
      <w:r>
        <w:rPr>
          <w:rFonts w:ascii="Times New Roman;Times;Serif" w:hAnsi="Times New Roman;Times;Serif"/>
          <w:b w:val="false"/>
          <w:i/>
          <w:caps w:val="false"/>
          <w:smallCaps w:val="false"/>
          <w:sz w:val="20"/>
        </w:rPr>
        <w:t>Classification of Liabilities as Current or Non-current and Non-current Liabilities with Covenants (Amendments to IAS 1), Lease Liability in a Sale and Leaseback (Amendments to IFRS 16), Supplier Finance Arrangements (Amendments to IAS 7 and IFRS 7), and International Tax Reform—Pillar Two Model Rules (Amendments to IAS 12)</w:t>
      </w:r>
      <w:r>
        <w:rPr>
          <w:rFonts w:ascii="Times New Roman;Times;Serif" w:hAnsi="Times New Roman;Times;Serif"/>
          <w:b w:val="false"/>
          <w:i w:val="false"/>
          <w:caps w:val="false"/>
          <w:smallCaps w:val="false"/>
          <w:sz w:val="20"/>
        </w:rPr>
        <w:t>. These amendments did not have a material impact on the Company’s consolidated financial statements. With respect to Pillar Two, the Company has applied the temporary mandatory exception to recognizing and disclosing deferred tax assets and liabilities related to Pillar Two income taxes. Based on the Company’s current facts and circumstances, management does not expect Pillar Two to have a material impact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08" w:name="xdx_236_z2tHXuqyngt6"/>
      <w:bookmarkEnd w:id="30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309" w:name="xdx_231_zMejwnsZzoy_zJNdhyAacMq7"/>
      <w:bookmarkEnd w:id="30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0" w:name="xdx_233_z3S6XpnChX2f"/>
      <w:bookmarkEnd w:id="310"/>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311" w:name="xdx_230_zPSr83Q78YUz"/>
      <w:bookmarkEnd w:id="31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2" w:name="xdx_23C_zQnME2FLhzlX"/>
      <w:bookmarkEnd w:id="312"/>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313" w:name="xdx_234_z3tCIpCX0X5k"/>
      <w:bookmarkEnd w:id="31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4" w:name="xdx_23B_zpgKgoeDwm6N"/>
      <w:bookmarkEnd w:id="314"/>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5" w:name="xdx_238_zDj4YJfTI2Yw"/>
      <w:bookmarkEnd w:id="315"/>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caps w:val="false"/>
          <w:smallCaps w:val="false"/>
        </w:rPr>
      </w:pPr>
      <w:bookmarkStart w:id="316" w:name="xdx_237_zqIeMWZZAtTA"/>
      <w:bookmarkEnd w:id="316"/>
      <w:r>
        <w:rPr>
          <w:caps w:val="false"/>
          <w:smallCaps w:val="false"/>
        </w:rPr>
        <w:t> </w:t>
      </w:r>
    </w:p>
    <w:p>
      <w:pPr>
        <w:pStyle w:val="TextBody"/>
        <w:bidi w:val="0"/>
        <w:spacing w:before="0" w:after="0"/>
        <w:ind w:left="0" w:right="0" w:hanging="0"/>
        <w:jc w:val="left"/>
        <w:rPr>
          <w:caps w:val="false"/>
          <w:smallCaps w:val="false"/>
        </w:rPr>
      </w:pPr>
      <w:bookmarkStart w:id="317" w:name="xdx_231_zUFdnjXfUQ10"/>
      <w:bookmarkEnd w:id="317"/>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18" w:name="xdx_862_zB29agweexNr"/>
      <w:bookmarkStart w:id="319" w:name="xdx_84C_ecustom--DescriptionOfAccounting"/>
      <w:bookmarkEnd w:id="318"/>
      <w:bookmarkEnd w:id="319"/>
      <w:r>
        <w:rPr>
          <w:rFonts w:ascii="Times New Roman;Times;Serif" w:hAnsi="Times New Roman;Times;Serif"/>
          <w:b/>
          <w:i/>
          <w:caps w:val="false"/>
          <w:smallCaps w:val="false"/>
          <w:sz w:val="20"/>
        </w:rPr>
        <w:t>Standards and amendments issued but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standards and amendments have been issued but are not yet effective and have not been early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Amendments to the Classification and Measurement of Financial Instruments (Amendments to IFRS 9 and IFRS 7)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Annual Improvements to IFRS Accounting Standards—Volume 11</w:t>
      </w:r>
      <w:r>
        <w:rPr>
          <w:rFonts w:ascii="Times New Roman;Times;Serif" w:hAnsi="Times New Roman;Times;Serif"/>
          <w:b w:val="false"/>
          <w:i w:val="false"/>
          <w:caps w:val="false"/>
          <w:smallCaps w:val="false"/>
          <w:sz w:val="20"/>
        </w:rPr>
        <w:t>. These amendments are effective for annual periods beginning on or after January 1, 2026. The Company is assessing the effect of these amendments on its consolidated financial statements. Based on its preliminary assessment, the Company does not currently expect a significant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IFRS 18, </w:t>
      </w:r>
      <w:r>
        <w:rPr>
          <w:rFonts w:ascii="Times New Roman;Times;Serif" w:hAnsi="Times New Roman;Times;Serif"/>
          <w:b w:val="false"/>
          <w:i/>
          <w:caps w:val="false"/>
          <w:smallCaps w:val="false"/>
          <w:sz w:val="20"/>
        </w:rPr>
        <w:t>Presentation and Disclosure in Financial Statements</w:t>
      </w:r>
      <w:r>
        <w:rPr>
          <w:rFonts w:ascii="Times New Roman;Times;Serif" w:hAnsi="Times New Roman;Times;Serif"/>
          <w:b w:val="false"/>
          <w:i w:val="false"/>
          <w:caps w:val="false"/>
          <w:smallCaps w:val="false"/>
          <w:sz w:val="20"/>
        </w:rPr>
        <w:t xml:space="preserve"> is effective for annual periods beginning on or after January 1, 2027. The Company is evaluating the impact of IFRS 18 on the presentation and disclosure of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20" w:name="xdx_867_zxY9MO2pz2LO"/>
      <w:bookmarkStart w:id="321" w:name="xdx_84F_ecustom--DescriptionOfAccounting"/>
      <w:bookmarkEnd w:id="320"/>
      <w:bookmarkEnd w:id="321"/>
      <w:r>
        <w:rPr>
          <w:rFonts w:ascii="Times New Roman;Times;Serif" w:hAnsi="Times New Roman;Times;Serif"/>
          <w:b/>
          <w:i/>
          <w:caps w:val="false"/>
          <w:smallCaps w:val="false"/>
          <w:sz w:val="20"/>
        </w:rPr>
        <w:t>New accounting policies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2025, the Company entered into certain arrangements involving the issuance of equity instruments to service providers in connection with corporate advisory and capital markets services related to the Company’s proposed NASDAQ direct listing. As a result, the Company adopted an accounting policy for share-based payments in accordance with IFRS 2 –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As of December 31, 2025, certain equity compensation arrangements related to the advisory services were contingent upon the successful completion of the Company’s proposed listing on Nasdaq and therefore no share-based payment expense has been recognized in the accompanying consolidated financial statements. See Note 1.15 Share-based payments for a description of our accounting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2025, the Company entered into an intellectual property licensing arrangement with NeuRX Health Inc. (“NeuRX”) providing for future license and royalty revenues. As a result, the Company adopted an accounting policy for revenue recognition in accordance with IFRS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See Note 1.14 Revenue recognition for a description of our accounting policy and Note 17 Revenue for information on the licensing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22" w:name="xdx_86C_zJ0ZbshYk6hI"/>
      <w:bookmarkStart w:id="323" w:name="xdx_84D_ecustom--DescriptionOfAccounting"/>
      <w:bookmarkEnd w:id="322"/>
      <w:bookmarkEnd w:id="323"/>
      <w:r>
        <w:rPr>
          <w:rFonts w:ascii="Times New Roman;Times;Serif" w:hAnsi="Times New Roman;Times;Serif"/>
          <w:b/>
          <w:i/>
          <w:caps w:val="false"/>
          <w:smallCaps w:val="false"/>
          <w:sz w:val="20"/>
        </w:rPr>
        <w:t>Changes in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adoption of the policies described above, and as noted in note 1.1 and note 22, the accounting policies applied in the preparation of these consolidated financial statements are consistent with those applied in the Company’s consolidated financial statements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24" w:name="xdx_238_z5kwcznYVJIO"/>
      <w:bookmarkEnd w:id="324"/>
      <w:r>
        <w:rPr>
          <w:caps w:val="false"/>
          <w:smallCaps w:val="false"/>
        </w:rPr>
        <w:t> </w:t>
      </w:r>
    </w:p>
    <w:p>
      <w:pPr>
        <w:pStyle w:val="TextBody"/>
        <w:bidi w:val="0"/>
        <w:spacing w:before="0" w:after="0"/>
        <w:ind w:left="0" w:right="0" w:hanging="0"/>
        <w:jc w:val="left"/>
        <w:rPr>
          <w:caps w:val="false"/>
          <w:smallCaps w:val="false"/>
        </w:rPr>
      </w:pPr>
      <w:bookmarkStart w:id="325" w:name="xdx_232_z6CyItH3jm5i"/>
      <w:bookmarkEnd w:id="32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326" w:name="xdx_238_zLoAKMwAyZi7"/>
      <w:bookmarkEnd w:id="32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7" w:name="xdx_23D_zqhR9DbvoCSA"/>
      <w:bookmarkEnd w:id="327"/>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328" w:name="xdx_239_zBYT1lkQUmDv"/>
      <w:bookmarkEnd w:id="32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9" w:name="xdx_23C_zf1Ejr8pyEgP"/>
      <w:bookmarkEnd w:id="329"/>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330" w:name="xdx_23A_zqil5SGqsE9B"/>
      <w:bookmarkEnd w:id="33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1" w:name="xdx_238_z4CQvCRn7NNw"/>
      <w:bookmarkEnd w:id="331"/>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2" w:name="xdx_23E_z2f6grhXIN7A"/>
      <w:bookmarkEnd w:id="332"/>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333" w:name="xdx_232_zma32XLao9Iw"/>
      <w:bookmarkEnd w:id="333"/>
      <w:r>
        <w:rPr>
          <w:caps w:val="false"/>
          <w:smallCaps w:val="false"/>
        </w:rPr>
        <w:t> </w:t>
      </w:r>
    </w:p>
    <w:p>
      <w:pPr>
        <w:pStyle w:val="TextBody"/>
        <w:bidi w:val="0"/>
        <w:spacing w:before="0" w:after="0"/>
        <w:ind w:left="0" w:right="0" w:hanging="0"/>
        <w:jc w:val="left"/>
        <w:rPr>
          <w:caps w:val="false"/>
          <w:smallCaps w:val="false"/>
        </w:rPr>
      </w:pPr>
      <w:bookmarkStart w:id="334" w:name="xdx_806_eifrs-full--DisclosureOfAccounti"/>
      <w:bookmarkEnd w:id="334"/>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40"/>
        <w:gridCol w:w="386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860" w:type="dxa"/>
            <w:tcBorders/>
            <w:vAlign w:val="center"/>
          </w:tcPr>
          <w:p>
            <w:pPr>
              <w:pStyle w:val="TableContents"/>
              <w:bidi w:val="0"/>
              <w:spacing w:before="0" w:after="283"/>
              <w:jc w:val="left"/>
              <w:rPr>
                <w:rFonts w:ascii="Times New Roman;Times;Serif" w:hAnsi="Times New Roman;Times;Serif"/>
                <w:b/>
                <w:sz w:val="20"/>
              </w:rPr>
            </w:pPr>
            <w:bookmarkStart w:id="335" w:name="xdx_82D_zuT68y0MGmSD"/>
            <w:bookmarkEnd w:id="335"/>
            <w:r>
              <w:rPr>
                <w:rFonts w:ascii="Times New Roman;Times;Serif" w:hAnsi="Times New Roman;Times;Serif"/>
                <w:b/>
                <w:sz w:val="20"/>
              </w:rPr>
              <w:t>Critical accounting estimates and judgements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application of the Company’s accounting policies, the directors are required to make judgements, estimates and assumptions about the carrying amount of assets and liabilities that are not readily apparent from other sources. In addition, management has exercised judgment in establishing accounting policies related to revenue recognition under the Company’s global licensing arrangement. As no revenue has been recognized to date, this judgment has not had a significant effect on the amounts recognized in the consolidated financial statements as of the reporting date. The estimates and associated assumptions are based on historical experience and other factors that are considered to be relevant. Actual results may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and assumptions which have a significant risk of causing a material adjustment to the carrying amount of assets and liabilities are outlined below.</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245"/>
        <w:gridCol w:w="60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0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Impairment and useful life determination of intellectual property rights</w:t>
            </w:r>
          </w:p>
        </w:tc>
      </w:tr>
    </w:tbl>
    <w:p>
      <w:pPr>
        <w:pStyle w:val="TextBody"/>
        <w:bidi w:val="0"/>
        <w:ind w:left="131" w:right="131" w:hanging="0"/>
        <w:jc w:val="both"/>
        <w:rPr>
          <w:caps w:val="false"/>
          <w:smallCaps w:val="false"/>
        </w:rPr>
      </w:pPr>
      <w:r>
        <w:rPr>
          <w:caps w:val="false"/>
          <w:smallCaps w:val="false"/>
        </w:rPr>
        <w:t> </w:t>
      </w:r>
    </w:p>
    <w:p>
      <w:pPr>
        <w:pStyle w:val="TextBody"/>
        <w:bidi w:val="0"/>
        <w:ind w:left="131" w:right="13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include intellectual property (‘IP’) rights transferred to the Company as part of the February 2023 common-control transaction described in Note 7. Management exercised significant judgment in determining that the Company's intellectual property rights have a definite useful life of 10 years. In making this assessment, management considered the nature of the underlying technology platform, expected product life cycles, anticipated commercialization timelines, the pace of technological change within the industry, competitive developments, and the period over which the intellectual property is expected to generate economic benefits for the Company. The intellectual property rights are amortised on a straight-line basis over their estimated useful life of ten years commencing on 6 February 2023.</w:t>
      </w:r>
    </w:p>
    <w:p>
      <w:pPr>
        <w:pStyle w:val="TextBody"/>
        <w:bidi w:val="0"/>
        <w:ind w:left="131" w:right="131" w:hanging="0"/>
        <w:jc w:val="both"/>
        <w:rPr>
          <w:caps w:val="false"/>
          <w:smallCaps w:val="false"/>
        </w:rPr>
      </w:pPr>
      <w:r>
        <w:rPr>
          <w:caps w:val="false"/>
          <w:smallCaps w:val="false"/>
        </w:rPr>
        <w:t> </w:t>
      </w:r>
    </w:p>
    <w:p>
      <w:pPr>
        <w:pStyle w:val="TextBody"/>
        <w:bidi w:val="0"/>
        <w:ind w:left="131" w:right="13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also considered the legal and economic environment in which the intellectual property operates, including statutory protection periods, the expected ability to maintain and enhance the technology through ongoing development activities, and the likelihood that future technological advancements may diminish the value of the existing intellectual property over time. Based on these factors, management concluded that a 10-year useful life represents the period over which the intellectual property is expected to contribute to future cash flows. The intellectual property rights are amortized on a systematic basis over their estimated useful life of 10 years and are reviewed at least annually to determine whether events or changes in circumstances warrant a revision to the useful life estimate or indicate impairment. The Company assesses its intellectual property rights for impairment whenever events or changes in circumstances indicate that the carrying amount may not be recoverable, in accordance with IAS 36. The impairment assessment involves estimating the recoverable amount of the cash-generating unit ("CGU") to which the IP rights belong. Management exercised significant judgment in identifying the appropriate CGU to which the Company's intellectual property assets are allocated for impairment testing purposes. This judgment required consideration of how management monitors operations, the level of interdependence between products and services, and the manner in which future cash flows are generated.</w:t>
      </w:r>
    </w:p>
    <w:p>
      <w:pPr>
        <w:pStyle w:val="TextBody"/>
        <w:bidi w:val="0"/>
        <w:ind w:left="131" w:right="131"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also exercised significant judgment in determining key assumptions used in any impairment assessment, including forecast cash flows, revenue growth rates, the structure of future licensing arrangements, product launch dates, expected operating margins, long-term growth rates and pre-tax discount rates. Changes in these assumptions could affect the recoverable amount of the CGU and result in the recognition of an impairment loss. Management has determined that, based on the assumptions applied as of the reporting date, there were no indicators that the carrying amount of the related assets exceeded their recoverable amount </w:t>
      </w:r>
    </w:p>
    <w:p>
      <w:pPr>
        <w:pStyle w:val="TextBody"/>
        <w:bidi w:val="0"/>
        <w:ind w:left="131" w:right="131"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245"/>
        <w:gridCol w:w="17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7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Going concern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made an assessment of the Company’s ability to continue as a going concern and exercised significant judgment in concluding that the going concern basis of accounting is appropriate. In making this assessment, management considered the Company’s recurring losses, its limited cash balance at year end, its forecasted cash position to meet obligations as they fall due and its dependence on financial support from its principal shareholder and CEO to fund operations. Management also considered the receipt of a letter the Company’s CEO to provide financial support for a period of at least twelve months from the date that these consolidated financial statements are authorized, as well as considering the Company's expected commercialization of its product portfolio, potential direct product revenues, potential regional licensing and distribution arrangements, financing arrangements entered into subsequent to December 31, 2025 and the continuing financial support of its principal shareholder and CEO.. Based on all the relevant factors, management has concluded that no material uncertainties exist that would cast significant doubt on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36" w:name="xdx_239_zHMcOgXy3EPM"/>
      <w:bookmarkEnd w:id="33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337" w:name="xdx_239_zf503N9MbHwD"/>
      <w:bookmarkEnd w:id="33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8" w:name="xdx_23E_zlHq3cDPpl6K"/>
      <w:bookmarkEnd w:id="338"/>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339" w:name="xdx_23C_z79B6gBV3lV6"/>
      <w:bookmarkEnd w:id="33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0" w:name="xdx_237_zY1uGup5yM48"/>
      <w:bookmarkEnd w:id="340"/>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341" w:name="xdx_239_zKvFFgWxl8LO"/>
      <w:bookmarkEnd w:id="34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2" w:name="xdx_233_zf38SExY70OK"/>
      <w:bookmarkEnd w:id="342"/>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3" w:name="xdx_237_zP84zuUporQM"/>
      <w:bookmarkEnd w:id="343"/>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344" w:name="xdx_232_zySeuCo6UtDz"/>
      <w:bookmarkEnd w:id="344"/>
      <w:r>
        <w:rPr>
          <w:caps w:val="false"/>
          <w:smallCaps w:val="false"/>
        </w:rPr>
        <w:t> </w:t>
      </w:r>
    </w:p>
    <w:p>
      <w:pPr>
        <w:pStyle w:val="TextBody"/>
        <w:bidi w:val="0"/>
        <w:spacing w:before="0" w:after="0"/>
        <w:ind w:left="0" w:right="0" w:hanging="0"/>
        <w:jc w:val="left"/>
        <w:rPr>
          <w:caps w:val="false"/>
          <w:smallCaps w:val="false"/>
        </w:rPr>
      </w:pPr>
      <w:bookmarkStart w:id="345" w:name="xdx_807_eifrs-full--DisclosureOfProfitLo"/>
      <w:bookmarkEnd w:id="345"/>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40"/>
        <w:gridCol w:w="236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360" w:type="dxa"/>
            <w:tcBorders/>
            <w:vAlign w:val="center"/>
          </w:tcPr>
          <w:p>
            <w:pPr>
              <w:pStyle w:val="TableContents"/>
              <w:bidi w:val="0"/>
              <w:spacing w:before="0" w:after="283"/>
              <w:jc w:val="left"/>
              <w:rPr>
                <w:rFonts w:ascii="Times New Roman;Times;Serif" w:hAnsi="Times New Roman;Times;Serif"/>
                <w:b/>
                <w:sz w:val="20"/>
              </w:rPr>
            </w:pPr>
            <w:bookmarkStart w:id="346" w:name="xdx_82A_zS7JOorydQGX"/>
            <w:bookmarkEnd w:id="346"/>
            <w:r>
              <w:rPr>
                <w:rFonts w:ascii="Times New Roman;Times;Serif" w:hAnsi="Times New Roman;Times;Serif"/>
                <w:b/>
                <w:sz w:val="20"/>
              </w:rPr>
              <w:t>Operating loss – as restated</w:t>
            </w:r>
          </w:p>
        </w:tc>
      </w:tr>
    </w:tbl>
    <w:p>
      <w:pPr>
        <w:pStyle w:val="Normal"/>
        <w:bidi w:val="0"/>
        <w:spacing w:before="0" w:after="0"/>
        <w:ind w:left="0" w:right="0" w:hanging="0"/>
        <w:jc w:val="left"/>
        <w:rPr>
          <w:sz w:val="4"/>
          <w:szCs w:val="4"/>
        </w:rPr>
      </w:pPr>
      <w:r>
        <w:rPr>
          <w:sz w:val="4"/>
          <w:szCs w:val="4"/>
        </w:rPr>
      </w:r>
      <w:bookmarkStart w:id="347" w:name="xdx_889_ecustom--ScheduleOfOperatingLoss"/>
      <w:bookmarkStart w:id="348" w:name="xdx_889_ecustom--ScheduleOfOperatingLoss"/>
      <w:bookmarkEnd w:id="348"/>
    </w:p>
    <w:tbl>
      <w:tblPr>
        <w:tblW w:w="7010" w:type="dxa"/>
        <w:jc w:val="left"/>
        <w:tblInd w:w="0" w:type="dxa"/>
        <w:tblLayout w:type="fixed"/>
        <w:tblCellMar>
          <w:top w:w="0" w:type="dxa"/>
          <w:left w:w="0" w:type="dxa"/>
          <w:bottom w:w="0" w:type="dxa"/>
          <w:right w:w="0" w:type="dxa"/>
        </w:tblCellMar>
      </w:tblPr>
      <w:tblGrid>
        <w:gridCol w:w="5015"/>
        <w:gridCol w:w="60"/>
        <w:gridCol w:w="60"/>
        <w:gridCol w:w="800"/>
        <w:gridCol w:w="60"/>
        <w:gridCol w:w="60"/>
        <w:gridCol w:w="60"/>
        <w:gridCol w:w="800"/>
        <w:gridCol w:w="95"/>
      </w:tblGrid>
      <w:tr>
        <w:trPr/>
        <w:tc>
          <w:tcPr>
            <w:tcW w:w="5015" w:type="dxa"/>
            <w:tcBorders/>
            <w:vAlign w:val="center"/>
          </w:tcPr>
          <w:p>
            <w:pPr>
              <w:pStyle w:val="TableContents"/>
              <w:bidi w:val="0"/>
              <w:spacing w:before="0" w:after="283"/>
              <w:jc w:val="left"/>
              <w:rPr/>
            </w:pPr>
            <w:bookmarkStart w:id="349" w:name="xdx_8BC_zicYq2G4LqPn"/>
            <w:bookmarkEnd w:id="349"/>
            <w:r>
              <w:rPr/>
              <w:t>Schedule of operating loss</w:t>
            </w:r>
          </w:p>
        </w:tc>
        <w:tc>
          <w:tcPr>
            <w:tcW w:w="60" w:type="dxa"/>
            <w:tcBorders/>
            <w:vAlign w:val="center"/>
          </w:tcPr>
          <w:p>
            <w:pPr>
              <w:pStyle w:val="TableContents"/>
              <w:bidi w:val="0"/>
              <w:spacing w:before="0" w:after="283"/>
              <w:jc w:val="left"/>
              <w:rPr/>
            </w:pPr>
            <w:r>
              <w:rPr/>
              <w:t> </w:t>
            </w:r>
            <w:bookmarkStart w:id="350" w:name="xdx_49F_20250101__20251231_zwChdLnpcx7T"/>
            <w:bookmarkEnd w:id="350"/>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1" w:name="xdx_499_20240101__20241231_zPw5S1ROpivT"/>
            <w:bookmarkEnd w:id="351"/>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w:t>
            </w:r>
          </w:p>
        </w:tc>
        <w:tc>
          <w:tcPr>
            <w:tcW w:w="95" w:type="dxa"/>
            <w:tcBorders/>
            <w:vAlign w:val="center"/>
          </w:tcPr>
          <w:p>
            <w:pPr>
              <w:pStyle w:val="TableContents"/>
              <w:bidi w:val="0"/>
              <w:spacing w:before="0" w:after="283"/>
              <w:jc w:val="left"/>
              <w:rPr/>
            </w:pPr>
            <w:r>
              <w:rPr/>
              <w:t> </w:t>
            </w:r>
            <w:bookmarkStart w:id="352" w:name="xdx_402_ecustom--OperatingLossAbstract_i"/>
            <w:bookmarkEnd w:id="352"/>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loss for the year is stated after charging/(crediting):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353" w:name="xdx_406_eifrs-full--Amortisation_zlqkprT"/>
            <w:bookmarkEnd w:id="353"/>
          </w:p>
        </w:tc>
      </w:tr>
      <w:tr>
        <w:trPr/>
        <w:tc>
          <w:tcPr>
            <w:tcW w:w="5015" w:type="dxa"/>
            <w:tcBorders/>
            <w:shd w:fill="FFFFFF" w:val="clear"/>
            <w:vAlign w:val="center"/>
          </w:tcPr>
          <w:p>
            <w:pPr>
              <w:pStyle w:val="TableContents"/>
              <w:bidi w:val="0"/>
              <w:spacing w:before="0" w:after="283"/>
              <w:jc w:val="left"/>
              <w:rPr/>
            </w:pPr>
            <w:r>
              <w:rPr/>
              <w:t>Amortisation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304,830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304,830</w:t>
            </w:r>
          </w:p>
        </w:tc>
        <w:tc>
          <w:tcPr>
            <w:tcW w:w="95" w:type="dxa"/>
            <w:tcBorders/>
            <w:shd w:fill="FFFFFF" w:val="clear"/>
            <w:vAlign w:val="center"/>
          </w:tcPr>
          <w:p>
            <w:pPr>
              <w:pStyle w:val="TableContents"/>
              <w:bidi w:val="0"/>
              <w:spacing w:before="0" w:after="283"/>
              <w:jc w:val="left"/>
              <w:rPr/>
            </w:pPr>
            <w:r>
              <w:rPr/>
              <w:t> </w:t>
            </w:r>
            <w:bookmarkStart w:id="354" w:name="xdx_40C_eifrs-full--OtherGainsLosses_iN_"/>
            <w:bookmarkEnd w:id="354"/>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loss/gains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5" w:name="xdx_405_eifrs-full--ResearchAndDevelopme"/>
            <w:bookmarkEnd w:id="355"/>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8,159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56" w:name="xdx_803_eifrs-full--DisclosureOfInformat"/>
      <w:bookmarkEnd w:id="356"/>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140"/>
        <w:gridCol w:w="96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965" w:type="dxa"/>
            <w:tcBorders/>
            <w:vAlign w:val="center"/>
          </w:tcPr>
          <w:p>
            <w:pPr>
              <w:pStyle w:val="TableContents"/>
              <w:bidi w:val="0"/>
              <w:spacing w:before="0" w:after="283"/>
              <w:jc w:val="left"/>
              <w:rPr>
                <w:rFonts w:ascii="Times New Roman;Times;Serif" w:hAnsi="Times New Roman;Times;Serif"/>
                <w:b/>
                <w:sz w:val="20"/>
              </w:rPr>
            </w:pPr>
            <w:bookmarkStart w:id="357" w:name="xdx_82E_zMtOLh03IASQ"/>
            <w:bookmarkEnd w:id="357"/>
            <w:r>
              <w:rPr>
                <w:rFonts w:ascii="Times New Roman;Times;Serif" w:hAnsi="Times New Roman;Times;Serif"/>
                <w:b/>
                <w:sz w:val="20"/>
              </w:rPr>
              <w:t>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monthly number of people (excluding directors) employed by the Company during the year was:</w:t>
      </w:r>
    </w:p>
    <w:p>
      <w:pPr>
        <w:pStyle w:val="Normal"/>
        <w:bidi w:val="0"/>
        <w:spacing w:before="0" w:after="0"/>
        <w:jc w:val="left"/>
        <w:rPr>
          <w:sz w:val="4"/>
          <w:szCs w:val="4"/>
        </w:rPr>
      </w:pPr>
      <w:r>
        <w:rPr>
          <w:sz w:val="4"/>
          <w:szCs w:val="4"/>
        </w:rPr>
      </w:r>
      <w:bookmarkStart w:id="358" w:name="xdx_898_ecustom--ScheduleOfEmployeesTabl"/>
      <w:bookmarkStart w:id="359" w:name="xdx_898_ecustom--ScheduleOfEmployeesTabl"/>
      <w:bookmarkEnd w:id="359"/>
    </w:p>
    <w:tbl>
      <w:tblPr>
        <w:tblW w:w="6135" w:type="dxa"/>
        <w:jc w:val="left"/>
        <w:tblInd w:w="0" w:type="dxa"/>
        <w:tblLayout w:type="fixed"/>
        <w:tblCellMar>
          <w:top w:w="0" w:type="dxa"/>
          <w:left w:w="0" w:type="dxa"/>
          <w:bottom w:w="0" w:type="dxa"/>
          <w:right w:w="0" w:type="dxa"/>
        </w:tblCellMar>
      </w:tblPr>
      <w:tblGrid>
        <w:gridCol w:w="4340"/>
        <w:gridCol w:w="60"/>
        <w:gridCol w:w="60"/>
        <w:gridCol w:w="710"/>
        <w:gridCol w:w="60"/>
        <w:gridCol w:w="60"/>
        <w:gridCol w:w="60"/>
        <w:gridCol w:w="710"/>
        <w:gridCol w:w="75"/>
      </w:tblGrid>
      <w:tr>
        <w:trPr/>
        <w:tc>
          <w:tcPr>
            <w:tcW w:w="4340" w:type="dxa"/>
            <w:tcBorders/>
            <w:vAlign w:val="center"/>
          </w:tcPr>
          <w:p>
            <w:pPr>
              <w:pStyle w:val="TableContents"/>
              <w:bidi w:val="0"/>
              <w:spacing w:before="0" w:after="283"/>
              <w:jc w:val="left"/>
              <w:rPr/>
            </w:pPr>
            <w:bookmarkStart w:id="360" w:name="xdx_8BA_zAnYXCORKGSG"/>
            <w:bookmarkEnd w:id="360"/>
            <w:r>
              <w:rPr/>
              <w:t>Schedule of employees of excluding directors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1" w:name="xdx_98B_edei--EntityNumberOfEmployees_iI"/>
            <w:bookmarkEnd w:id="361"/>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2" w:name="xdx_981_edei--EntityNumberOfEmployees_iI"/>
            <w:bookmarkEnd w:id="362"/>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63" w:name="xdx_8A1_zLszTow7Dfxj"/>
      <w:bookmarkEnd w:id="363"/>
      <w:r>
        <w:rPr>
          <w:caps w:val="false"/>
          <w:smallCaps w:val="false"/>
        </w:rPr>
        <w:t> </w:t>
      </w:r>
    </w:p>
    <w:p>
      <w:pPr>
        <w:pStyle w:val="TextBody"/>
        <w:bidi w:val="0"/>
        <w:spacing w:before="0" w:after="0"/>
        <w:ind w:left="0" w:right="0" w:hanging="0"/>
        <w:jc w:val="left"/>
        <w:rPr>
          <w:caps w:val="false"/>
          <w:smallCaps w:val="false"/>
        </w:rPr>
      </w:pPr>
      <w:bookmarkStart w:id="364" w:name="xdx_809_eifrs-full--DisclosureOfIncomeTa"/>
      <w:bookmarkEnd w:id="364"/>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40"/>
        <w:gridCol w:w="278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780" w:type="dxa"/>
            <w:tcBorders/>
            <w:vAlign w:val="center"/>
          </w:tcPr>
          <w:p>
            <w:pPr>
              <w:pStyle w:val="TableContents"/>
              <w:bidi w:val="0"/>
              <w:spacing w:before="0" w:after="283"/>
              <w:jc w:val="left"/>
              <w:rPr>
                <w:rFonts w:ascii="Times New Roman;Times;Serif" w:hAnsi="Times New Roman;Times;Serif"/>
                <w:b/>
                <w:sz w:val="20"/>
              </w:rPr>
            </w:pPr>
            <w:bookmarkStart w:id="365" w:name="xdx_826_z3YCqy0Yh0Mo"/>
            <w:bookmarkEnd w:id="365"/>
            <w:r>
              <w:rPr>
                <w:rFonts w:ascii="Times New Roman;Times;Serif" w:hAnsi="Times New Roman;Times;Serif"/>
                <w:b/>
                <w:sz w:val="20"/>
              </w:rPr>
              <w:t>Income tax expense – as restated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was </w:t>
      </w:r>
      <w:bookmarkStart w:id="366" w:name="xdx_905_eifrs-full--AverageEffectiveTaxR"/>
      <w:bookmarkStart w:id="367" w:name="xdx_902_eifrs-full--AverageEffectiveTaxR"/>
      <w:bookmarkEnd w:id="366"/>
      <w:bookmarkEnd w:id="367"/>
      <w:r>
        <w:rPr>
          <w:rFonts w:ascii="Times New Roman;Times;Serif" w:hAnsi="Times New Roman;Times;Serif"/>
          <w:b w:val="false"/>
          <w:i w:val="false"/>
          <w:caps w:val="false"/>
          <w:smallCaps w:val="false"/>
          <w:sz w:val="20"/>
        </w:rPr>
        <w:t>0% for the years ended December 31, 2025 and 2024 and can be reconciled to its pre-tax Operating loss as follows: </w:t>
      </w:r>
    </w:p>
    <w:p>
      <w:pPr>
        <w:pStyle w:val="Normal"/>
        <w:bidi w:val="0"/>
        <w:spacing w:before="0" w:after="0"/>
        <w:jc w:val="left"/>
        <w:rPr>
          <w:sz w:val="4"/>
          <w:szCs w:val="4"/>
        </w:rPr>
      </w:pPr>
      <w:r>
        <w:rPr>
          <w:sz w:val="4"/>
          <w:szCs w:val="4"/>
        </w:rPr>
      </w:r>
      <w:bookmarkStart w:id="368" w:name="xdx_892_ecustom--ScheduleOfIncomeTaxExpe"/>
      <w:bookmarkStart w:id="369" w:name="xdx_892_ecustom--ScheduleOfIncomeTaxExpe"/>
      <w:bookmarkEnd w:id="369"/>
    </w:p>
    <w:tbl>
      <w:tblPr>
        <w:tblW w:w="7300" w:type="dxa"/>
        <w:jc w:val="left"/>
        <w:tblInd w:w="0" w:type="dxa"/>
        <w:tblLayout w:type="fixed"/>
        <w:tblCellMar>
          <w:top w:w="0" w:type="dxa"/>
          <w:left w:w="0" w:type="dxa"/>
          <w:bottom w:w="0" w:type="dxa"/>
          <w:right w:w="0" w:type="dxa"/>
        </w:tblCellMar>
      </w:tblPr>
      <w:tblGrid>
        <w:gridCol w:w="5075"/>
        <w:gridCol w:w="60"/>
        <w:gridCol w:w="60"/>
        <w:gridCol w:w="905"/>
        <w:gridCol w:w="80"/>
        <w:gridCol w:w="60"/>
        <w:gridCol w:w="60"/>
        <w:gridCol w:w="905"/>
        <w:gridCol w:w="95"/>
      </w:tblGrid>
      <w:tr>
        <w:trPr/>
        <w:tc>
          <w:tcPr>
            <w:tcW w:w="5075" w:type="dxa"/>
            <w:tcBorders/>
            <w:vAlign w:val="center"/>
          </w:tcPr>
          <w:p>
            <w:pPr>
              <w:pStyle w:val="TableContents"/>
              <w:bidi w:val="0"/>
              <w:spacing w:before="0" w:after="283"/>
              <w:jc w:val="left"/>
              <w:rPr/>
            </w:pPr>
            <w:bookmarkStart w:id="370" w:name="xdx_8BF_zwYJ1ooFZXOK"/>
            <w:bookmarkEnd w:id="370"/>
            <w:r>
              <w:rPr/>
              <w:t>Schedule of income tax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1" w:name="xdx_49C_20250101__20251231_zIIbGxPIP1rc"/>
            <w:bookmarkEnd w:id="371"/>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2" w:name="xdx_497_20240101__20241231_zTwOPGSltSDa"/>
            <w:bookmarkEnd w:id="372"/>
          </w:p>
        </w:tc>
        <w:tc>
          <w:tcPr>
            <w:tcW w:w="90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w:t>
            </w:r>
          </w:p>
        </w:tc>
        <w:tc>
          <w:tcPr>
            <w:tcW w:w="95" w:type="dxa"/>
            <w:tcBorders/>
            <w:vAlign w:val="center"/>
          </w:tcPr>
          <w:p>
            <w:pPr>
              <w:pStyle w:val="TableContents"/>
              <w:bidi w:val="0"/>
              <w:spacing w:before="0" w:after="283"/>
              <w:jc w:val="left"/>
              <w:rPr/>
            </w:pPr>
            <w:r>
              <w:rPr/>
              <w:t> </w:t>
            </w:r>
            <w:bookmarkStart w:id="373" w:name="xdx_40A_eifrs-full--ProfitLoss_zMXJ7cfk7"/>
            <w:bookmarkEnd w:id="373"/>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loss before taxation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(1,128,807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(1,625,183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Expected tax credit based on a corporation tax rate of 12.50%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203</w:t>
            </w:r>
            <w:r>
              <w:rPr>
                <w:rFonts w:ascii="Times New Roman;Times;Serif" w:hAnsi="Times New Roman;Times;Serif"/>
                <w:sz w:val="20"/>
              </w:rPr>
              <w:t>,148</w:t>
            </w:r>
          </w:p>
        </w:tc>
        <w:tc>
          <w:tcPr>
            <w:tcW w:w="95" w:type="dxa"/>
            <w:tcBorders/>
            <w:shd w:fill="FFFFFF" w:val="clear"/>
            <w:vAlign w:val="center"/>
          </w:tcPr>
          <w:p>
            <w:pPr>
              <w:pStyle w:val="TableContents"/>
              <w:bidi w:val="0"/>
              <w:spacing w:before="0" w:after="283"/>
              <w:jc w:val="left"/>
              <w:rPr/>
            </w:pPr>
            <w:r>
              <w:rPr/>
              <w:t> </w:t>
            </w:r>
            <w:bookmarkStart w:id="374" w:name="xdx_407_eifrs-full--TaxBenefitArisingFro"/>
            <w:bookmarkEnd w:id="374"/>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benefits not recognized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(203,148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5" w:name="xdx_40F_eifrs-full--IncomeTaxExpenseCont"/>
            <w:bookmarkEnd w:id="375"/>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expense, Net deferred tax asset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76" w:name="xdx_8A6_zjXw5KzlYs6h"/>
      <w:bookmarkEnd w:id="376"/>
      <w:r>
        <w:rPr>
          <w:caps w:val="false"/>
          <w:smallCaps w:val="false"/>
        </w:rPr>
        <w:t> </w:t>
      </w:r>
    </w:p>
    <w:p>
      <w:pPr>
        <w:pStyle w:val="TextBody"/>
        <w:bidi w:val="0"/>
        <w:spacing w:before="0" w:after="0"/>
        <w:ind w:left="0" w:right="0" w:hanging="0"/>
        <w:jc w:val="left"/>
        <w:rPr>
          <w:caps w:val="false"/>
          <w:smallCaps w:val="false"/>
        </w:rPr>
      </w:pPr>
      <w:bookmarkStart w:id="377" w:name="xdx_232_zWueJtVu0nvc"/>
      <w:bookmarkEnd w:id="377"/>
      <w:r>
        <w:rPr>
          <w:caps w:val="false"/>
          <w:smallCaps w:val="false"/>
        </w:rPr>
        <w:t> </w:t>
      </w:r>
    </w:p>
    <w:p>
      <w:pPr>
        <w:pStyle w:val="TextBody"/>
        <w:bidi w:val="0"/>
        <w:spacing w:before="0" w:after="0"/>
        <w:ind w:left="0" w:right="0" w:hanging="0"/>
        <w:jc w:val="left"/>
        <w:rPr>
          <w:caps w:val="false"/>
          <w:smallCaps w:val="false"/>
        </w:rPr>
      </w:pPr>
      <w:bookmarkStart w:id="378" w:name="xdx_234_zYF9tOxzKmaq"/>
      <w:bookmarkEnd w:id="37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379" w:name="xdx_239_zpBDPh0PL7jC"/>
      <w:bookmarkEnd w:id="37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0" w:name="xdx_23A_zmPZpRyklrHn"/>
      <w:bookmarkEnd w:id="380"/>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381" w:name="xdx_23D_zgR0ZXjaEwNm"/>
      <w:bookmarkEnd w:id="38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2" w:name="xdx_231_zSJAhjQNGisL"/>
      <w:bookmarkEnd w:id="382"/>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383" w:name="xdx_23E_zklzcxasy7dn"/>
      <w:bookmarkEnd w:id="38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4" w:name="xdx_235_zQlisGJR97zK"/>
      <w:bookmarkEnd w:id="384"/>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5" w:name="xdx_237_zDkA3wUAeY92"/>
      <w:bookmarkEnd w:id="385"/>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386" w:name="xdx_23F_zPT5aCadSuLd"/>
      <w:bookmarkEnd w:id="386"/>
      <w:r>
        <w:rPr>
          <w:caps w:val="false"/>
          <w:smallCaps w:val="false"/>
        </w:rPr>
        <w:t> </w:t>
      </w:r>
    </w:p>
    <w:p>
      <w:pPr>
        <w:pStyle w:val="TextBody"/>
        <w:bidi w:val="0"/>
        <w:spacing w:before="0" w:after="0"/>
        <w:ind w:left="0" w:right="0" w:hanging="0"/>
        <w:jc w:val="left"/>
        <w:rPr>
          <w:caps w:val="false"/>
          <w:smallCaps w:val="false"/>
        </w:rPr>
      </w:pPr>
      <w:bookmarkStart w:id="387" w:name="xdx_807_eifrs-full--DisclosureOfIntangib"/>
      <w:bookmarkEnd w:id="387"/>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40"/>
        <w:gridCol w:w="257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570" w:type="dxa"/>
            <w:tcBorders/>
            <w:vAlign w:val="center"/>
          </w:tcPr>
          <w:p>
            <w:pPr>
              <w:pStyle w:val="TableContents"/>
              <w:bidi w:val="0"/>
              <w:spacing w:before="0" w:after="283"/>
              <w:jc w:val="left"/>
              <w:rPr>
                <w:rFonts w:ascii="Times New Roman;Times;Serif" w:hAnsi="Times New Roman;Times;Serif"/>
                <w:b/>
                <w:sz w:val="20"/>
              </w:rPr>
            </w:pPr>
            <w:bookmarkStart w:id="388" w:name="xdx_820_zOk4d1F64K4Z"/>
            <w:bookmarkEnd w:id="388"/>
            <w:r>
              <w:rPr>
                <w:rFonts w:ascii="Times New Roman;Times;Serif" w:hAnsi="Times New Roman;Times;Serif"/>
                <w:b/>
                <w:sz w:val="20"/>
              </w:rPr>
              <w:t xml:space="preserve">Intangible assets – as restated </w:t>
            </w:r>
          </w:p>
        </w:tc>
      </w:tr>
    </w:tbl>
    <w:p>
      <w:pPr>
        <w:pStyle w:val="TextBody"/>
        <w:bidi w:val="0"/>
        <w:spacing w:before="0" w:after="0"/>
        <w:ind w:left="131" w:right="131" w:hanging="0"/>
        <w:jc w:val="both"/>
        <w:rPr>
          <w:caps w:val="false"/>
          <w:smallCaps w:val="false"/>
        </w:rPr>
      </w:pPr>
      <w:r>
        <w:rPr>
          <w:caps w:val="false"/>
          <w:smallCaps w:val="false"/>
        </w:rPr>
        <w:t> </w:t>
      </w:r>
    </w:p>
    <w:p>
      <w:pPr>
        <w:pStyle w:val="TextBody"/>
        <w:bidi w:val="0"/>
        <w:ind w:left="131" w:right="131"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Common-Control Transfer and Initial Recognition</w:t>
      </w:r>
    </w:p>
    <w:p>
      <w:pPr>
        <w:pStyle w:val="TextBody"/>
        <w:bidi w:val="0"/>
        <w:ind w:left="131" w:right="131" w:hanging="0"/>
        <w:jc w:val="both"/>
        <w:rPr>
          <w:caps w:val="false"/>
          <w:smallCaps w:val="false"/>
        </w:rPr>
      </w:pPr>
      <w:r>
        <w:rPr>
          <w:caps w:val="false"/>
          <w:smallCaps w:val="false"/>
        </w:rPr>
        <w:t> </w:t>
      </w:r>
    </w:p>
    <w:p>
      <w:pPr>
        <w:pStyle w:val="TextBody"/>
        <w:bidi w:val="0"/>
        <w:ind w:left="131" w:right="13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completed a transaction under common control whereby intellectual property was transferred from Davion Healthcare Limited (United Kingdom) to the Company. For accounting purposes, the transfer has been accounted for as a transfer between entities under common control because control of the intellectual property remained unchanged before and after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intellectual property has been recognised at the predecessor entity's carrying amount immediately prior to the transfer, rather than at the contractual consideration or any fair value. The carrying amount represents the historical carrying value of the intellectual property as recognised in the financial statements of Davion Healthcare Limited (United Kingdom), with continuity of the predecessor's accounting basis.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therefore revised the historical accounting treatment to reflect the predecessor carrying value of the intellectual property from the date of transfer. Subsequent to initial recognition under this accounting basis, the intellectual property is amortised over its estimated useful economic life of ten years commencing from the date of transfer on 6 February 2023, with amortisation recognised in profit or loss.</w:t>
      </w:r>
    </w:p>
    <w:p>
      <w:pPr>
        <w:pStyle w:val="TextBody"/>
        <w:bidi w:val="0"/>
        <w:jc w:val="both"/>
        <w:rPr>
          <w:caps w:val="false"/>
          <w:smallCaps w:val="false"/>
        </w:rPr>
      </w:pPr>
      <w:r>
        <w:rPr>
          <w:caps w:val="false"/>
          <w:smallCaps w:val="false"/>
        </w:rPr>
        <w:t> </w:t>
      </w:r>
    </w:p>
    <w:p>
      <w:pPr>
        <w:pStyle w:val="TextBody"/>
        <w:bidi w:val="0"/>
        <w:jc w:val="both"/>
        <w:rPr/>
      </w:pPr>
      <w:r>
        <w:rPr/>
        <w:t>This revision reflects the accounting basis required for these financial statements and does not affect the legal ownership of the intellectual property, the underlying transfer agreement, the consideration issued, or the Company's commercial rights to develop and exploit the intellectual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bookmarkStart w:id="389" w:name="xdx_237_zambl3VvG5ut"/>
      <w:bookmarkEnd w:id="389"/>
      <w:r>
        <w:rPr>
          <w:caps w:val="false"/>
          <w:smallCaps w:val="false"/>
        </w:rPr>
        <w:t> </w:t>
      </w:r>
    </w:p>
    <w:p>
      <w:pPr>
        <w:pStyle w:val="TextBody"/>
        <w:bidi w:val="0"/>
        <w:spacing w:before="0" w:after="0"/>
        <w:ind w:left="0" w:right="0" w:firstLine="720"/>
        <w:jc w:val="left"/>
        <w:rPr>
          <w:caps w:val="false"/>
          <w:smallCaps w:val="false"/>
        </w:rPr>
      </w:pPr>
      <w:bookmarkStart w:id="390" w:name="xdx_238_zzGvFcLSKFq2"/>
      <w:bookmarkEnd w:id="390"/>
      <w:r>
        <w:rPr>
          <w:caps w:val="false"/>
          <w:smallCaps w:val="false"/>
        </w:rPr>
        <w:t> </w:t>
      </w:r>
    </w:p>
    <w:p>
      <w:pPr>
        <w:pStyle w:val="TextBody"/>
        <w:bidi w:val="0"/>
        <w:spacing w:before="0" w:after="0"/>
        <w:ind w:left="0" w:right="0" w:firstLine="720"/>
        <w:jc w:val="left"/>
        <w:rPr>
          <w:caps w:val="false"/>
          <w:smallCaps w:val="false"/>
        </w:rPr>
      </w:pPr>
      <w:bookmarkStart w:id="391" w:name="xdx_23D_zgS8OCwqpGNl"/>
      <w:bookmarkEnd w:id="39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92" w:name="xdx_23A_zCBPrVFxFDh5"/>
      <w:bookmarkEnd w:id="39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3" w:name="xdx_23D_zKevYZvV9c8M"/>
      <w:bookmarkEnd w:id="393"/>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394" w:name="xdx_231_zZp9PqhvnuTm"/>
      <w:bookmarkEnd w:id="39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5" w:name="xdx_234_z5NXozI5yusU"/>
      <w:bookmarkEnd w:id="395"/>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396" w:name="xdx_23E_zW1ImDigEJc_zXIhArJk2oZW"/>
      <w:bookmarkEnd w:id="39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7" w:name="xdx_239_ze3fTPtccrWg"/>
      <w:bookmarkEnd w:id="397"/>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8" w:name="xdx_233_zIIkRSZ5WE9X"/>
      <w:bookmarkEnd w:id="398"/>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399" w:name="xdx_231_zSI5FNq9ogNT"/>
      <w:bookmarkEnd w:id="39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Expenditure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transfer of the intellectual property rights, the Company invested further in the enhancement and development of the intellectual property; however, none of these costs met the recognition criteria under IAS 38 due to there being no active market in accordance with “IAS” 38. These costs primarily related to technical refinement and commercialization readiness. Footflow and ThermaDerm were added to the Company's product portfolio and the regulatory registration for BreastCheck, Testic, Footflow and ThermaDerm was established with the U.S. Food and Drug Administration (FDA), the EU under the CE mark, and the UK Regulatory authority under the UKCA mark, enabling future commercialisation of the related products. In 2025, the Company entered into an intellectual property licensing arrangement with NeuRX Health Inc. (“NeuRX”) which contemplated future license and royalty revenues. As a result, the Company adopted an accounting policy for revenue recognition in accordance with IFRS 15 – Revenue from Contracts with Customers. No revenue was recognised under the arrangement during the year ended December 31, 2025. Subsequent to the reporting period, the Company terminated the NeuRX agreement. See Subsequent Events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intellectual property rights at December 31, 2025 and 2024 are as follows:</w:t>
      </w:r>
    </w:p>
    <w:p>
      <w:pPr>
        <w:pStyle w:val="Normal"/>
        <w:bidi w:val="0"/>
        <w:spacing w:before="0" w:after="0"/>
        <w:jc w:val="left"/>
        <w:rPr>
          <w:sz w:val="4"/>
          <w:szCs w:val="4"/>
        </w:rPr>
      </w:pPr>
      <w:r>
        <w:rPr>
          <w:sz w:val="4"/>
          <w:szCs w:val="4"/>
        </w:rPr>
      </w:r>
      <w:bookmarkStart w:id="400" w:name="xdx_89F_ecustom--DisclosureOfIntellectua"/>
      <w:bookmarkStart w:id="401" w:name="xdx_89F_ecustom--DisclosureOfIntellectua"/>
      <w:bookmarkEnd w:id="401"/>
    </w:p>
    <w:tbl>
      <w:tblPr>
        <w:tblW w:w="6189" w:type="dxa"/>
        <w:jc w:val="left"/>
        <w:tblInd w:w="0" w:type="dxa"/>
        <w:tblLayout w:type="fixed"/>
        <w:tblCellMar>
          <w:top w:w="0" w:type="dxa"/>
          <w:left w:w="0" w:type="dxa"/>
          <w:bottom w:w="0" w:type="dxa"/>
          <w:right w:w="0" w:type="dxa"/>
        </w:tblCellMar>
      </w:tblPr>
      <w:tblGrid>
        <w:gridCol w:w="3680"/>
        <w:gridCol w:w="60"/>
        <w:gridCol w:w="155"/>
        <w:gridCol w:w="2219"/>
        <w:gridCol w:w="75"/>
      </w:tblGrid>
      <w:tr>
        <w:trPr/>
        <w:tc>
          <w:tcPr>
            <w:tcW w:w="3680" w:type="dxa"/>
            <w:tcBorders/>
            <w:vAlign w:val="center"/>
          </w:tcPr>
          <w:p>
            <w:pPr>
              <w:pStyle w:val="TableContents"/>
              <w:bidi w:val="0"/>
              <w:spacing w:before="0" w:after="283"/>
              <w:jc w:val="left"/>
              <w:rPr/>
            </w:pPr>
            <w:bookmarkStart w:id="402" w:name="xdx_8B0_zHGILycl4un_z2lNydLquv2J"/>
            <w:bookmarkEnd w:id="402"/>
            <w:r>
              <w:rPr/>
              <w:t>Schedule of intellectual property rights</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21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Predecessor Carry Amount </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BreastCheck IP Rights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sz w:val="20"/>
              </w:rPr>
            </w:pPr>
            <w:bookmarkStart w:id="403" w:name="xdx_906_eifrs-full--IntangibleAssetFairV"/>
            <w:bookmarkStart w:id="404" w:name="xdx_908_eifrs-full--IntangibleAssetFairV"/>
            <w:bookmarkEnd w:id="403"/>
            <w:bookmarkEnd w:id="404"/>
            <w:r>
              <w:rPr>
                <w:rFonts w:ascii="Times New Roman;Times;Serif" w:hAnsi="Times New Roman;Times;Serif"/>
                <w:sz w:val="20"/>
              </w:rPr>
              <w:t>2,813,819</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Tricos IP Rights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19" w:type="dxa"/>
            <w:tcBorders/>
            <w:shd w:fill="FFFFFF" w:val="clear"/>
            <w:vAlign w:val="center"/>
          </w:tcPr>
          <w:p>
            <w:pPr>
              <w:pStyle w:val="TableContents"/>
              <w:bidi w:val="0"/>
              <w:spacing w:before="0" w:after="283"/>
              <w:jc w:val="right"/>
              <w:rPr>
                <w:rFonts w:ascii="Times New Roman;Times;Serif" w:hAnsi="Times New Roman;Times;Serif"/>
                <w:sz w:val="20"/>
              </w:rPr>
            </w:pPr>
            <w:bookmarkStart w:id="405" w:name="xdx_902_eifrs-full--IntangibleAssetFairV"/>
            <w:bookmarkStart w:id="406" w:name="xdx_905_eifrs-full--IntangibleAssetFairV"/>
            <w:bookmarkEnd w:id="405"/>
            <w:bookmarkEnd w:id="406"/>
            <w:r>
              <w:rPr>
                <w:rFonts w:ascii="Times New Roman;Times;Serif" w:hAnsi="Times New Roman;Times;Serif"/>
                <w:sz w:val="20"/>
              </w:rPr>
              <w:t>46,896</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Testic IP Rights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sz w:val="20"/>
              </w:rPr>
            </w:pPr>
            <w:bookmarkStart w:id="407" w:name="xdx_90D_eifrs-full--IntangibleAssetFairV"/>
            <w:bookmarkStart w:id="408" w:name="xdx_902_eifrs-full--IntangibleAssetFairV"/>
            <w:bookmarkEnd w:id="407"/>
            <w:bookmarkEnd w:id="408"/>
            <w:r>
              <w:rPr>
                <w:rFonts w:ascii="Times New Roman;Times;Serif" w:hAnsi="Times New Roman;Times;Serif"/>
                <w:sz w:val="20"/>
              </w:rPr>
              <w:t>46,896</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Davion Masks IP Rights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19" w:type="dxa"/>
            <w:tcBorders/>
            <w:shd w:fill="FFFFFF" w:val="clear"/>
            <w:vAlign w:val="center"/>
          </w:tcPr>
          <w:p>
            <w:pPr>
              <w:pStyle w:val="TableContents"/>
              <w:bidi w:val="0"/>
              <w:spacing w:before="0" w:after="283"/>
              <w:jc w:val="right"/>
              <w:rPr>
                <w:rFonts w:ascii="Times New Roman;Times;Serif" w:hAnsi="Times New Roman;Times;Serif"/>
                <w:sz w:val="20"/>
              </w:rPr>
            </w:pPr>
            <w:bookmarkStart w:id="409" w:name="xdx_902_eifrs-full--IntangibleAssetFairV"/>
            <w:bookmarkStart w:id="410" w:name="xdx_906_eifrs-full--IntangibleAssetFairV"/>
            <w:bookmarkEnd w:id="409"/>
            <w:bookmarkEnd w:id="410"/>
            <w:r>
              <w:rPr>
                <w:rFonts w:ascii="Times New Roman;Times;Serif" w:hAnsi="Times New Roman;Times;Serif"/>
                <w:sz w:val="20"/>
              </w:rPr>
              <w:t>70,345</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Bio-Genex IP Rights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sz w:val="20"/>
              </w:rPr>
            </w:pPr>
            <w:bookmarkStart w:id="411" w:name="xdx_908_eifrs-full--IntangibleAssetFairV"/>
            <w:bookmarkStart w:id="412" w:name="xdx_909_eifrs-full--IntangibleAssetFairV"/>
            <w:bookmarkEnd w:id="411"/>
            <w:bookmarkEnd w:id="412"/>
            <w:r>
              <w:rPr>
                <w:rFonts w:ascii="Times New Roman;Times;Serif" w:hAnsi="Times New Roman;Times;Serif"/>
                <w:sz w:val="20"/>
              </w:rPr>
              <w:t>46,896</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Merit IP Rights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bookmarkStart w:id="413" w:name="xdx_903_eifrs-full--IntangibleAssetFairV"/>
            <w:bookmarkStart w:id="414" w:name="xdx_908_eifrs-full--IntangibleAssetFairV"/>
            <w:bookmarkEnd w:id="413"/>
            <w:bookmarkEnd w:id="414"/>
            <w:r>
              <w:rPr>
                <w:rFonts w:ascii="Times New Roman;Times;Serif" w:hAnsi="Times New Roman;Times;Serif"/>
                <w:sz w:val="20"/>
              </w:rPr>
              <w:t>23,452</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bookmarkStart w:id="415" w:name="xdx_90F_eifrs-full--IntangibleAssetFairV"/>
            <w:bookmarkStart w:id="416" w:name="xdx_900_eifrs-full--IntangibleAssetFairV"/>
            <w:bookmarkEnd w:id="415"/>
            <w:bookmarkEnd w:id="416"/>
            <w:r>
              <w:rPr>
                <w:rFonts w:ascii="Times New Roman;Times;Serif" w:hAnsi="Times New Roman;Times;Serif"/>
                <w:sz w:val="20"/>
              </w:rPr>
              <w:t>3,048,304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17" w:name="xdx_8A4_z9or5O2j03gU"/>
      <w:bookmarkEnd w:id="417"/>
      <w:r>
        <w:rPr>
          <w:caps w:val="false"/>
          <w:smallCaps w:val="false"/>
        </w:rPr>
        <w:t> </w:t>
      </w:r>
    </w:p>
    <w:p>
      <w:pPr>
        <w:pStyle w:val="Normal"/>
        <w:bidi w:val="0"/>
        <w:spacing w:before="0" w:after="0"/>
        <w:jc w:val="left"/>
        <w:rPr>
          <w:sz w:val="4"/>
          <w:szCs w:val="4"/>
        </w:rPr>
      </w:pPr>
      <w:r>
        <w:rPr>
          <w:sz w:val="4"/>
          <w:szCs w:val="4"/>
        </w:rPr>
      </w:r>
      <w:bookmarkStart w:id="418" w:name="xdx_88A_eifrs-full--DisclosureOfIntangib"/>
      <w:bookmarkStart w:id="419" w:name="xdx_88A_eifrs-full--DisclosureOfIntangib"/>
      <w:bookmarkEnd w:id="419"/>
    </w:p>
    <w:tbl>
      <w:tblPr>
        <w:tblW w:w="5380" w:type="dxa"/>
        <w:jc w:val="left"/>
        <w:tblInd w:w="0" w:type="dxa"/>
        <w:tblLayout w:type="fixed"/>
        <w:tblCellMar>
          <w:top w:w="0" w:type="dxa"/>
          <w:left w:w="0" w:type="dxa"/>
          <w:bottom w:w="0" w:type="dxa"/>
          <w:right w:w="0" w:type="dxa"/>
        </w:tblCellMar>
      </w:tblPr>
      <w:tblGrid>
        <w:gridCol w:w="3275"/>
        <w:gridCol w:w="60"/>
        <w:gridCol w:w="60"/>
        <w:gridCol w:w="845"/>
        <w:gridCol w:w="80"/>
        <w:gridCol w:w="60"/>
        <w:gridCol w:w="60"/>
        <w:gridCol w:w="845"/>
        <w:gridCol w:w="95"/>
      </w:tblGrid>
      <w:tr>
        <w:trPr/>
        <w:tc>
          <w:tcPr>
            <w:tcW w:w="3275" w:type="dxa"/>
            <w:tcBorders/>
            <w:vAlign w:val="center"/>
          </w:tcPr>
          <w:p>
            <w:pPr>
              <w:pStyle w:val="TableContents"/>
              <w:bidi w:val="0"/>
              <w:spacing w:before="0" w:after="283"/>
              <w:jc w:val="left"/>
              <w:rPr>
                <w:b/>
              </w:rPr>
            </w:pPr>
            <w:bookmarkStart w:id="420" w:name="xdx_8B6_zJnM2uaV4yZD"/>
            <w:bookmarkEnd w:id="420"/>
            <w:r>
              <w:rPr>
                <w:b/>
              </w:rPr>
              <w:t>Rollforward of intangible assets</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w:t>
            </w:r>
          </w:p>
        </w:tc>
        <w:tc>
          <w:tcPr>
            <w:tcW w:w="9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sz w:val="20"/>
              </w:rPr>
            </w:pPr>
            <w:r>
              <w:rPr>
                <w:sz w:val="20"/>
              </w:rPr>
              <w:t>Carrying value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1" w:name="xdx_98D_eifrs-full--IntangibleAssetsOthe"/>
            <w:bookmarkEnd w:id="421"/>
          </w:p>
        </w:tc>
        <w:tc>
          <w:tcPr>
            <w:tcW w:w="845" w:type="dxa"/>
            <w:tcBorders/>
            <w:shd w:fill="CCEEFF" w:val="clear"/>
            <w:vAlign w:val="center"/>
          </w:tcPr>
          <w:p>
            <w:pPr>
              <w:pStyle w:val="TableContents"/>
              <w:bidi w:val="0"/>
              <w:spacing w:before="0" w:after="283"/>
              <w:jc w:val="right"/>
              <w:rPr>
                <w:sz w:val="20"/>
              </w:rPr>
            </w:pPr>
            <w:r>
              <w:rPr>
                <w:sz w:val="20"/>
              </w:rPr>
              <w:t>2,489,448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2" w:name="xdx_988_eifrs-full--IntangibleAssetsOthe"/>
            <w:bookmarkEnd w:id="422"/>
          </w:p>
        </w:tc>
        <w:tc>
          <w:tcPr>
            <w:tcW w:w="845" w:type="dxa"/>
            <w:tcBorders/>
            <w:shd w:fill="CCEEFF" w:val="clear"/>
            <w:vAlign w:val="center"/>
          </w:tcPr>
          <w:p>
            <w:pPr>
              <w:pStyle w:val="TableContents"/>
              <w:bidi w:val="0"/>
              <w:spacing w:before="0" w:after="283"/>
              <w:jc w:val="right"/>
              <w:rPr>
                <w:sz w:val="20"/>
              </w:rPr>
            </w:pPr>
            <w:r>
              <w:rPr>
                <w:sz w:val="20"/>
              </w:rPr>
              <w:t>2,794,279</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sz w:val="20"/>
              </w:rPr>
            </w:pPr>
            <w:r>
              <w:rPr>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3" w:name="xdx_989_eifrs-full--AdditionsOtherThanTh"/>
            <w:bookmarkEnd w:id="423"/>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4" w:name="xdx_986_eifrs-full--AdditionsOtherThanTh"/>
            <w:bookmarkEnd w:id="424"/>
          </w:p>
        </w:tc>
        <w:tc>
          <w:tcPr>
            <w:tcW w:w="8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sz w:val="20"/>
              </w:rPr>
            </w:pPr>
            <w:r>
              <w:rPr>
                <w:sz w:val="20"/>
              </w:rPr>
              <w:t>Amortization charge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5" w:name="xdx_98F_eifrs-full--AmortisationIntangib"/>
            <w:bookmarkEnd w:id="425"/>
          </w:p>
        </w:tc>
        <w:tc>
          <w:tcPr>
            <w:tcW w:w="845" w:type="dxa"/>
            <w:tcBorders/>
            <w:shd w:fill="CCEEFF" w:val="clear"/>
            <w:vAlign w:val="center"/>
          </w:tcPr>
          <w:p>
            <w:pPr>
              <w:pStyle w:val="TableContents"/>
              <w:bidi w:val="0"/>
              <w:spacing w:before="0" w:after="283"/>
              <w:jc w:val="right"/>
              <w:rPr>
                <w:sz w:val="20"/>
              </w:rPr>
            </w:pPr>
            <w:r>
              <w:rPr>
                <w:sz w:val="20"/>
              </w:rPr>
              <w:t>(304,830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6" w:name="xdx_98D_eifrs-full--AmortisationIntangib"/>
            <w:bookmarkEnd w:id="426"/>
          </w:p>
        </w:tc>
        <w:tc>
          <w:tcPr>
            <w:tcW w:w="845" w:type="dxa"/>
            <w:tcBorders/>
            <w:shd w:fill="CCEEFF" w:val="clear"/>
            <w:vAlign w:val="center"/>
          </w:tcPr>
          <w:p>
            <w:pPr>
              <w:pStyle w:val="TableContents"/>
              <w:bidi w:val="0"/>
              <w:spacing w:before="0" w:after="283"/>
              <w:jc w:val="right"/>
              <w:rPr>
                <w:sz w:val="20"/>
              </w:rPr>
            </w:pPr>
            <w:r>
              <w:rPr>
                <w:sz w:val="20"/>
              </w:rPr>
              <w:t>(304,830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275" w:type="dxa"/>
            <w:tcBorders/>
            <w:vAlign w:val="center"/>
          </w:tcPr>
          <w:p>
            <w:pPr>
              <w:pStyle w:val="TableContents"/>
              <w:bidi w:val="0"/>
              <w:spacing w:before="0" w:after="283"/>
              <w:jc w:val="left"/>
              <w:rPr>
                <w:sz w:val="20"/>
              </w:rPr>
            </w:pPr>
            <w:r>
              <w:rPr>
                <w:sz w:val="20"/>
              </w:rPr>
              <w:t>Impairment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7" w:name="xdx_984_eifrs-full--ImpairmentLossRecogn"/>
            <w:bookmarkEnd w:id="427"/>
          </w:p>
        </w:tc>
        <w:tc>
          <w:tcPr>
            <w:tcW w:w="845"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8" w:name="xdx_980_eifrs-full--ImpairmentLossRecogn"/>
            <w:bookmarkEnd w:id="428"/>
          </w:p>
        </w:tc>
        <w:tc>
          <w:tcPr>
            <w:tcW w:w="8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sz w:val="20"/>
              </w:rPr>
            </w:pPr>
            <w:r>
              <w:rPr>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9" w:name="xdx_98F_eifrs-full--ChangesInIntangibleA"/>
            <w:bookmarkEnd w:id="429"/>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0" w:name="xdx_98E_eifrs-full--ChangesInIntangibleA"/>
            <w:bookmarkEnd w:id="430"/>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b/>
                <w:sz w:val="20"/>
              </w:rPr>
            </w:pPr>
            <w:r>
              <w:rPr>
                <w:b/>
                <w:sz w:val="20"/>
              </w:rPr>
              <w:t>Carrying value at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31" w:name="xdx_98F_eifrs-full--IntangibleAssetsOthe"/>
            <w:bookmarkEnd w:id="431"/>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2,184,618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32" w:name="xdx_98D_eifrs-full--IntangibleAssetsOthe"/>
            <w:bookmarkEnd w:id="432"/>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2,489,448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33" w:name="xdx_234_zODWs7bt4tM_zRI13QNt2Ryi"/>
      <w:bookmarkEnd w:id="433"/>
      <w:r>
        <w:rPr>
          <w:caps w:val="false"/>
          <w:smallCaps w:val="false"/>
        </w:rPr>
        <w:t> </w:t>
      </w:r>
    </w:p>
    <w:p>
      <w:pPr>
        <w:pStyle w:val="TextBody"/>
        <w:bidi w:val="0"/>
        <w:spacing w:before="0" w:after="0"/>
        <w:ind w:left="0" w:right="0" w:hanging="0"/>
        <w:jc w:val="left"/>
        <w:rPr>
          <w:caps w:val="false"/>
          <w:smallCaps w:val="false"/>
        </w:rPr>
      </w:pPr>
      <w:bookmarkStart w:id="434" w:name="xdx_23C_zBQpwZDpWOn_zm4FwMM5STpc"/>
      <w:bookmarkEnd w:id="434"/>
      <w:r>
        <w:rPr>
          <w:caps w:val="false"/>
          <w:smallCaps w:val="false"/>
        </w:rPr>
        <w:t> </w:t>
      </w:r>
    </w:p>
    <w:p>
      <w:pPr>
        <w:pStyle w:val="TextBody"/>
        <w:bidi w:val="0"/>
        <w:spacing w:before="0" w:after="0"/>
        <w:ind w:left="0" w:right="0" w:hanging="0"/>
        <w:jc w:val="left"/>
        <w:rPr>
          <w:caps w:val="false"/>
          <w:smallCaps w:val="false"/>
        </w:rPr>
      </w:pPr>
      <w:bookmarkStart w:id="435" w:name="xdx_23A_zMSdLBRGBIJ0"/>
      <w:bookmarkEnd w:id="43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436" w:name="xdx_23B_z3X28h5yjEGo"/>
      <w:bookmarkEnd w:id="43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7" w:name="xdx_230_zKpl8wUz8MKs"/>
      <w:bookmarkEnd w:id="437"/>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center"/>
        <w:rPr>
          <w:caps w:val="false"/>
          <w:smallCaps w:val="false"/>
        </w:rPr>
      </w:pPr>
      <w:bookmarkStart w:id="438" w:name="xdx_238_zikCuY2KS7os"/>
      <w:bookmarkEnd w:id="43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9" w:name="xdx_239_znbkBJB7cwzo"/>
      <w:bookmarkEnd w:id="439"/>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440" w:name="xdx_237_zmIWgcHe8NWr"/>
      <w:bookmarkEnd w:id="44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1" w:name="xdx_236_zpX1OT6bG0L_z424pNR0n1U0"/>
      <w:bookmarkEnd w:id="441"/>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2" w:name="xdx_23D_zN1YdhB48sy4"/>
      <w:bookmarkEnd w:id="442"/>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443" w:name="xdx_232_zCmZba3sId4e"/>
      <w:bookmarkEnd w:id="443"/>
      <w:r>
        <w:rPr>
          <w:caps w:val="false"/>
          <w:smallCaps w:val="false"/>
        </w:rPr>
        <w:t> </w:t>
      </w:r>
    </w:p>
    <w:p>
      <w:pPr>
        <w:pStyle w:val="TextBody"/>
        <w:bidi w:val="0"/>
        <w:spacing w:before="0" w:after="0"/>
        <w:ind w:left="0" w:right="0" w:hanging="0"/>
        <w:jc w:val="center"/>
        <w:rPr>
          <w:caps w:val="false"/>
          <w:smallCaps w:val="false"/>
        </w:rPr>
      </w:pPr>
      <w:bookmarkStart w:id="444" w:name="xdx_23F_zR0HOlKzig7H"/>
      <w:bookmarkEnd w:id="444"/>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Useful life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intellectual property consists of proprietary technologies, patents and related know-how underlying the Company's testing platform.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determined that the intellectual property has a finite useful life of 10 years. In assessing the useful life, management considered the expected period over which the technology is anticipated to contribute to future cash flows, the pace of technological developments within the industry, the expected commercial life of the underlying products and the legal and economic characteristics of the intellectual property portfolio.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intellectual property is initially recognised at cost and is subsequently measured using the cost model. The asset is amortised on a straight-line basis over its estimated useful life of 10 years, which management believes reflects the pattern in which the future economic benefits of the asset are expected to be consumed.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life and amortisation method are reviewed at least annually and revised prospectively where appropriate. The intellectual property is also assessed for impairment whenever indicators of impairment 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its annual impairment assessment using a value-in-use model, which incorporates projected future cash flows that are expected to be generated through direct commercialization, licensing and distribution arrangements. licensing revenues and related royalties associated with the Company’s intellectual property that are yet to be launched. The Company’s assessment is based in part on management’s evaluation, which incorporates information derived from a third party valuation prepared for inter management’s internal use, together with externally observable evidence, including the execution of an arm’s length licensing agreement with a third party. While management has applied judgment in assessing the methodologies and assumptions utilized by the third party valuation specialist, the Company does not rely on internal equity valuations, implied market capitalization or internally generated valuation multiples in assessing recoverability.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assumptions for estimating cash flows, discount rates and valuation techniques are solely for purposes of impairment testing under IAS 36 and do not represent a fair value measurement under IFRS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key assumptions used in our discounted cash model included: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management’s projected cash flows for the period 2026 through 2031, including revenues and operating margins from contractual license terms and expected future product launches.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a terminal value calculated using a 2.5x EBIT multiple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 xml:space="preserve">a progressively increasing discount rate reflecting the early-stage nature and risk of the Company’s product commercialization strategy </w:t>
            </w:r>
            <w:bookmarkStart w:id="445" w:name="xdx_90C_eifrs-full--DescriptionOfDiscoun"/>
            <w:bookmarkEnd w:id="445"/>
            <w:r>
              <w:rPr/>
              <w:t xml:space="preserve">30% - </w:t>
            </w:r>
            <w:bookmarkStart w:id="446" w:name="xdx_90B_eifrs-full--DescriptionOfDiscoun"/>
            <w:bookmarkEnd w:id="446"/>
            <w:r>
              <w:rPr/>
              <w:t>47.5%.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test requires management to make significant estimates and assumptions regarding projected cash flows, inclusive of product commercialization timelines, expected market penetration, licensing revenue growth, royalty structures, as well as risk adjusted discount rates reflecting the risk profile of the business. Management's forecasts reflect the Company's current commercialization strategy and assumptions regarding product launch timing, market penetration, direct sales and potential third-party manufacturing, licensing and distribution arrangements. These assumptions involve significant judgement and actual results may differ materially from the estimates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performed sensitivity analysis on the underlying key assumptions related to the projected cash flows and the risk adjusted discount rates. Management has determined that, while the recoverable amount of the CGU is sensitive to changes in certain key assumptions, reasonably possible changes in those assumptions, based on management’s assessment, would not be expected to result in the carrying amount of the CGU exceeding its recoverable amount as of the reporting date. Based on the impairment testing performed, the recoverable amount of the intellectual property exceeded the carrying amount of the intellectual property at December 31, 2025. Accordingly, no indicators of impairment were identified and as a result, </w:t>
      </w:r>
      <w:bookmarkStart w:id="447" w:name="xdx_905_eifrs-full--ImpairmentLoss_do_c2"/>
      <w:bookmarkStart w:id="448" w:name="xdx_901_eifrs-full--ImpairmentLoss_do_c2"/>
      <w:bookmarkEnd w:id="447"/>
      <w:bookmarkEnd w:id="448"/>
      <w:r>
        <w:rPr>
          <w:rFonts w:ascii="Times New Roman;Times;Serif" w:hAnsi="Times New Roman;Times;Serif"/>
          <w:b w:val="false"/>
          <w:i w:val="false"/>
          <w:caps w:val="false"/>
          <w:smallCaps w:val="false"/>
          <w:sz w:val="20"/>
        </w:rPr>
        <w:t>no impairment loss was recorded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49" w:name="xdx_23F_z6kJ4WGUAeRY"/>
      <w:bookmarkEnd w:id="44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50" w:name="xdx_237_zKxzQ3TIoFPX"/>
      <w:bookmarkEnd w:id="45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1" w:name="xdx_23D_zHeOzN6gwiup"/>
      <w:bookmarkEnd w:id="451"/>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452" w:name="xdx_231_zTxqkPRWSwTA"/>
      <w:bookmarkEnd w:id="45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3" w:name="xdx_234_z6vWSFV5JPay"/>
      <w:bookmarkEnd w:id="453"/>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454" w:name="xdx_23A_zFjR3YM4THu6"/>
      <w:bookmarkEnd w:id="45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5" w:name="xdx_23B_zQmUgJNzgNNm"/>
      <w:bookmarkEnd w:id="455"/>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6" w:name="xdx_23B_zFKd6O86Tbhy"/>
      <w:bookmarkEnd w:id="456"/>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457" w:name="xdx_23E_zmZOhjl6indg"/>
      <w:bookmarkEnd w:id="457"/>
      <w:r>
        <w:rPr>
          <w:caps w:val="false"/>
          <w:smallCaps w:val="false"/>
        </w:rPr>
        <w:t> </w:t>
      </w:r>
    </w:p>
    <w:p>
      <w:pPr>
        <w:pStyle w:val="TextBody"/>
        <w:bidi w:val="0"/>
        <w:spacing w:before="0" w:after="0"/>
        <w:ind w:left="0" w:right="0" w:hanging="0"/>
        <w:jc w:val="left"/>
        <w:rPr>
          <w:caps w:val="false"/>
          <w:smallCaps w:val="false"/>
        </w:rPr>
      </w:pPr>
      <w:bookmarkStart w:id="458" w:name="xdx_804_eifrs-full--DisclosureOfCreditRi"/>
      <w:bookmarkEnd w:id="458"/>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140"/>
        <w:gridCol w:w="95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950" w:type="dxa"/>
            <w:tcBorders/>
            <w:vAlign w:val="center"/>
          </w:tcPr>
          <w:p>
            <w:pPr>
              <w:pStyle w:val="TableContents"/>
              <w:bidi w:val="0"/>
              <w:spacing w:before="0" w:after="283"/>
              <w:jc w:val="left"/>
              <w:rPr>
                <w:rFonts w:ascii="Times New Roman;Times;Serif" w:hAnsi="Times New Roman;Times;Serif"/>
                <w:b/>
                <w:sz w:val="20"/>
              </w:rPr>
            </w:pPr>
            <w:bookmarkStart w:id="459" w:name="xdx_82B_z1ZVjgd3RMrX"/>
            <w:bookmarkEnd w:id="459"/>
            <w:r>
              <w:rPr>
                <w:rFonts w:ascii="Times New Roman;Times;Serif" w:hAnsi="Times New Roman;Times;Serif"/>
                <w:b/>
                <w:sz w:val="20"/>
              </w:rPr>
              <w:t>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arises when a failure by counterparties to discharge their obligations could reduce the amount of future cash inflows from financial assets on hand at the reporting date. The Company has policies in place to ensure that intellectual property licenses are made to customers with an appropriate credit history and monitors on a continuous basis the ageing profile of its receivables. Cash balances are held with high credit quality financial institutions, and the Company has policies to limit the amount of credit exposure to any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detailed below, the carrying amount of financial assets recorded in the consolidated financial statements, which is net of impairment losses, if any, represents the Company’s maximum exposure to credit risk.</w:t>
      </w:r>
    </w:p>
    <w:p>
      <w:pPr>
        <w:pStyle w:val="TextBody"/>
        <w:bidi w:val="0"/>
        <w:spacing w:before="0" w:after="0"/>
        <w:ind w:left="183" w:right="183" w:hanging="0"/>
        <w:jc w:val="left"/>
        <w:rPr>
          <w:caps w:val="false"/>
          <w:smallCaps w:val="false"/>
        </w:rPr>
      </w:pPr>
      <w:r>
        <w:rPr>
          <w:caps w:val="false"/>
          <w:smallCaps w:val="false"/>
        </w:rPr>
        <w:t> </w:t>
      </w:r>
    </w:p>
    <w:p>
      <w:pPr>
        <w:pStyle w:val="TextBody"/>
        <w:bidi w:val="0"/>
        <w:spacing w:before="0" w:after="0"/>
        <w:ind w:left="132" w:right="132"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credit risk </w:t>
      </w:r>
    </w:p>
    <w:p>
      <w:pPr>
        <w:pStyle w:val="Normal"/>
        <w:bidi w:val="0"/>
        <w:spacing w:before="0" w:after="0"/>
        <w:jc w:val="left"/>
        <w:rPr>
          <w:sz w:val="4"/>
          <w:szCs w:val="4"/>
        </w:rPr>
      </w:pPr>
      <w:r>
        <w:rPr>
          <w:sz w:val="4"/>
          <w:szCs w:val="4"/>
        </w:rPr>
      </w:r>
      <w:bookmarkStart w:id="460" w:name="xdx_89E_ecustom--DisclosureOfMaximumCred"/>
      <w:bookmarkStart w:id="461" w:name="xdx_89E_ecustom--DisclosureOfMaximumCred"/>
      <w:bookmarkEnd w:id="461"/>
    </w:p>
    <w:tbl>
      <w:tblPr>
        <w:tblW w:w="4530" w:type="dxa"/>
        <w:jc w:val="left"/>
        <w:tblInd w:w="0" w:type="dxa"/>
        <w:tblLayout w:type="fixed"/>
        <w:tblCellMar>
          <w:top w:w="0" w:type="dxa"/>
          <w:left w:w="0" w:type="dxa"/>
          <w:bottom w:w="0" w:type="dxa"/>
          <w:right w:w="0" w:type="dxa"/>
        </w:tblCellMar>
      </w:tblPr>
      <w:tblGrid>
        <w:gridCol w:w="3155"/>
        <w:gridCol w:w="60"/>
        <w:gridCol w:w="60"/>
        <w:gridCol w:w="560"/>
        <w:gridCol w:w="60"/>
        <w:gridCol w:w="60"/>
        <w:gridCol w:w="93"/>
        <w:gridCol w:w="407"/>
        <w:gridCol w:w="75"/>
      </w:tblGrid>
      <w:tr>
        <w:trPr/>
        <w:tc>
          <w:tcPr>
            <w:tcW w:w="3155" w:type="dxa"/>
            <w:tcBorders/>
            <w:vAlign w:val="center"/>
          </w:tcPr>
          <w:p>
            <w:pPr>
              <w:pStyle w:val="TableContents"/>
              <w:bidi w:val="0"/>
              <w:spacing w:before="0" w:after="283"/>
              <w:jc w:val="left"/>
              <w:rPr/>
            </w:pPr>
            <w:bookmarkStart w:id="462" w:name="xdx_8B3_zKkpS971QlId"/>
            <w:bookmarkEnd w:id="462"/>
            <w:r>
              <w:rPr/>
              <w:t>Schedule of maximum credit risk</w:t>
            </w:r>
          </w:p>
        </w:tc>
        <w:tc>
          <w:tcPr>
            <w:tcW w:w="60" w:type="dxa"/>
            <w:tcBorders/>
            <w:vAlign w:val="center"/>
          </w:tcPr>
          <w:p>
            <w:pPr>
              <w:pStyle w:val="TableContents"/>
              <w:bidi w:val="0"/>
              <w:spacing w:before="0" w:after="283"/>
              <w:jc w:val="left"/>
              <w:rPr/>
            </w:pPr>
            <w:r>
              <w:rPr/>
              <w:t> </w:t>
            </w:r>
            <w:bookmarkStart w:id="463" w:name="xdx_49C_20251231_ztS1DIXrG3wS"/>
            <w:bookmarkEnd w:id="463"/>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4" w:name="xdx_495_20241231_zxCcEd83Xasj"/>
            <w:bookmarkEnd w:id="464"/>
          </w:p>
        </w:tc>
        <w:tc>
          <w:tcPr>
            <w:tcW w:w="50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5" w:name="xdx_40F_eifrs-full--CashAndCashEquivalen"/>
            <w:bookmarkEnd w:id="465"/>
          </w:p>
        </w:tc>
      </w:tr>
      <w:tr>
        <w:trPr/>
        <w:tc>
          <w:tcPr>
            <w:tcW w:w="315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hold any collateral or other credit enhancements to cover this credit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66" w:name="xdx_804_eifrs-full--DisclosureOfTradeAnd"/>
      <w:bookmarkEnd w:id="466"/>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40"/>
        <w:gridCol w:w="258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2585" w:type="dxa"/>
            <w:tcBorders/>
            <w:vAlign w:val="center"/>
          </w:tcPr>
          <w:p>
            <w:pPr>
              <w:pStyle w:val="TableContents"/>
              <w:bidi w:val="0"/>
              <w:spacing w:before="0" w:after="283"/>
              <w:jc w:val="left"/>
              <w:rPr>
                <w:rFonts w:ascii="Times New Roman;Times;Serif" w:hAnsi="Times New Roman;Times;Serif"/>
                <w:b/>
                <w:sz w:val="20"/>
              </w:rPr>
            </w:pPr>
            <w:bookmarkStart w:id="467" w:name="xdx_82F_z0rceiylAyTm"/>
            <w:bookmarkEnd w:id="467"/>
            <w:r>
              <w:rPr>
                <w:rFonts w:ascii="Times New Roman;Times;Serif" w:hAnsi="Times New Roman;Times;Serif"/>
                <w:b/>
                <w:sz w:val="20"/>
              </w:rPr>
              <w:t>Trade receivables - 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trade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 that the carrying amount of trade and other receivables is approximately equal to their fair value.</w:t>
      </w:r>
    </w:p>
    <w:p>
      <w:pPr>
        <w:pStyle w:val="TextBody"/>
        <w:bidi w:val="0"/>
        <w:spacing w:before="0" w:after="0"/>
        <w:ind w:left="183" w:right="183"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significant receivable balances are impaired at the reporting end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68" w:name="xdx_23A_zh39UpR6QPgw"/>
      <w:bookmarkEnd w:id="468"/>
      <w:r>
        <w:rPr>
          <w:caps w:val="false"/>
          <w:smallCaps w:val="false"/>
        </w:rPr>
        <w:t> </w:t>
      </w:r>
    </w:p>
    <w:p>
      <w:pPr>
        <w:pStyle w:val="TextBody"/>
        <w:bidi w:val="0"/>
        <w:spacing w:before="0" w:after="0"/>
        <w:ind w:left="0" w:right="0" w:hanging="0"/>
        <w:jc w:val="left"/>
        <w:rPr>
          <w:caps w:val="false"/>
          <w:smallCaps w:val="false"/>
        </w:rPr>
      </w:pPr>
      <w:bookmarkStart w:id="469" w:name="xdx_230_z5aqiEhmMbkT"/>
      <w:bookmarkEnd w:id="46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470" w:name="xdx_233_zMBjI0MrPOQY"/>
      <w:bookmarkStart w:id="471" w:name="xdx_23B_znfNaOP2xk1c"/>
      <w:bookmarkEnd w:id="470"/>
      <w:bookmarkEnd w:id="47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2" w:name="xdx_234_zm9WHpu2BmxU"/>
      <w:bookmarkEnd w:id="472"/>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473" w:name="xdx_23C_zYXTtwnI8aMh"/>
      <w:bookmarkEnd w:id="47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4" w:name="xdx_236_zu3jsDDEpJAp"/>
      <w:bookmarkEnd w:id="474"/>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475" w:name="xdx_236_znwIc9wJP5cV"/>
      <w:bookmarkEnd w:id="47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6" w:name="xdx_237_z7K8GN41WBtA"/>
      <w:bookmarkEnd w:id="476"/>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7" w:name="xdx_23E_zQE3lKqOIdjN"/>
      <w:bookmarkEnd w:id="477"/>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478" w:name="xdx_238_zMTzzdvwEOqm"/>
      <w:bookmarkEnd w:id="478"/>
      <w:r>
        <w:rPr>
          <w:caps w:val="false"/>
          <w:smallCaps w:val="false"/>
        </w:rPr>
        <w:t> </w:t>
      </w:r>
    </w:p>
    <w:p>
      <w:pPr>
        <w:pStyle w:val="TextBody"/>
        <w:bidi w:val="0"/>
        <w:spacing w:before="0" w:after="0"/>
        <w:ind w:left="0" w:right="0" w:hanging="0"/>
        <w:jc w:val="left"/>
        <w:rPr>
          <w:caps w:val="false"/>
          <w:smallCaps w:val="false"/>
        </w:rPr>
      </w:pPr>
      <w:bookmarkStart w:id="479" w:name="xdx_800_ecustom--DisclosureOfAdvanceFrom"/>
      <w:bookmarkEnd w:id="479"/>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2585" w:type="dxa"/>
            <w:tcBorders/>
            <w:vAlign w:val="center"/>
          </w:tcPr>
          <w:p>
            <w:pPr>
              <w:pStyle w:val="TableContents"/>
              <w:bidi w:val="0"/>
              <w:spacing w:before="0" w:after="283"/>
              <w:jc w:val="left"/>
              <w:rPr>
                <w:rFonts w:ascii="Times New Roman;Times;Serif" w:hAnsi="Times New Roman;Times;Serif"/>
                <w:b/>
                <w:sz w:val="20"/>
              </w:rPr>
            </w:pPr>
            <w:bookmarkStart w:id="480" w:name="xdx_825_zBquQSSz1e3f"/>
            <w:bookmarkEnd w:id="480"/>
            <w:r>
              <w:rPr>
                <w:rFonts w:ascii="Times New Roman;Times;Serif" w:hAnsi="Times New Roman;Times;Serif"/>
                <w:b/>
                <w:sz w:val="20"/>
              </w:rPr>
              <w:t>Advances from related parties</w:t>
            </w:r>
          </w:p>
        </w:tc>
      </w:tr>
    </w:tbl>
    <w:p>
      <w:pPr>
        <w:pStyle w:val="TextBody"/>
        <w:bidi w:val="0"/>
        <w:spacing w:before="0" w:after="0"/>
        <w:ind w:left="577" w:right="0" w:hanging="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p>
      <w:pPr>
        <w:pStyle w:val="Normal"/>
        <w:bidi w:val="0"/>
        <w:spacing w:before="0" w:after="0"/>
        <w:jc w:val="left"/>
        <w:rPr>
          <w:sz w:val="4"/>
          <w:szCs w:val="4"/>
        </w:rPr>
      </w:pPr>
      <w:r>
        <w:rPr>
          <w:sz w:val="4"/>
          <w:szCs w:val="4"/>
        </w:rPr>
      </w:r>
      <w:bookmarkStart w:id="481" w:name="xdx_887_eifrs-full--DisclosureOfTransact"/>
      <w:bookmarkStart w:id="482" w:name="xdx_887_eifrs-full--DisclosureOfTransact"/>
      <w:bookmarkEnd w:id="482"/>
    </w:p>
    <w:tbl>
      <w:tblPr>
        <w:tblW w:w="5415" w:type="dxa"/>
        <w:jc w:val="left"/>
        <w:tblInd w:w="0" w:type="dxa"/>
        <w:tblLayout w:type="fixed"/>
        <w:tblCellMar>
          <w:top w:w="0" w:type="dxa"/>
          <w:left w:w="0" w:type="dxa"/>
          <w:bottom w:w="0" w:type="dxa"/>
          <w:right w:w="0" w:type="dxa"/>
        </w:tblCellMar>
      </w:tblPr>
      <w:tblGrid>
        <w:gridCol w:w="3965"/>
        <w:gridCol w:w="60"/>
        <w:gridCol w:w="60"/>
        <w:gridCol w:w="695"/>
        <w:gridCol w:w="60"/>
        <w:gridCol w:w="60"/>
        <w:gridCol w:w="132"/>
        <w:gridCol w:w="308"/>
        <w:gridCol w:w="75"/>
      </w:tblGrid>
      <w:tr>
        <w:trPr/>
        <w:tc>
          <w:tcPr>
            <w:tcW w:w="3965" w:type="dxa"/>
            <w:tcBorders/>
            <w:vAlign w:val="center"/>
          </w:tcPr>
          <w:p>
            <w:pPr>
              <w:pStyle w:val="TableContents"/>
              <w:bidi w:val="0"/>
              <w:spacing w:before="0" w:after="283"/>
              <w:jc w:val="left"/>
              <w:rPr/>
            </w:pPr>
            <w:bookmarkStart w:id="483" w:name="xdx_8BC_z35prJtdPMNP"/>
            <w:bookmarkEnd w:id="483"/>
            <w:r>
              <w:rPr/>
              <w:t>Schedule of advances from related parties</w:t>
            </w:r>
          </w:p>
        </w:tc>
        <w:tc>
          <w:tcPr>
            <w:tcW w:w="60" w:type="dxa"/>
            <w:tcBorders/>
            <w:vAlign w:val="center"/>
          </w:tcPr>
          <w:p>
            <w:pPr>
              <w:pStyle w:val="TableContents"/>
              <w:bidi w:val="0"/>
              <w:spacing w:before="0" w:after="283"/>
              <w:jc w:val="left"/>
              <w:rPr/>
            </w:pPr>
            <w:r>
              <w:rPr/>
              <w:t> </w:t>
            </w:r>
            <w:bookmarkStart w:id="484" w:name="xdx_491_20250101__20251231_z7z7l3V26616"/>
            <w:bookmarkEnd w:id="484"/>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5" w:name="xdx_490_20240101__20241231_zxO8ZB8csYaT"/>
            <w:bookmarkEnd w:id="485"/>
          </w:p>
        </w:tc>
        <w:tc>
          <w:tcPr>
            <w:tcW w:w="4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bookmarkStart w:id="486" w:name="xdx_402_eifrs-full--BorrowingsAbstract_i"/>
            <w:bookmarkEnd w:id="486"/>
          </w:p>
        </w:tc>
      </w:tr>
      <w:tr>
        <w:trPr/>
        <w:tc>
          <w:tcPr>
            <w:tcW w:w="3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Borrowings held at amortized cost:</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487" w:name="xdx_401_eifrs-full--CashAdvancesAndLoans"/>
            <w:bookmarkEnd w:id="487"/>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907,671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Jack Kaye, the Company’s Chief Executive Officer, has paid on behalf of the Company costs totaling €</w:t>
      </w:r>
      <w:bookmarkStart w:id="488" w:name="xdx_904_eifrs-full--Advances_iI_pn5n6_uE"/>
      <w:bookmarkEnd w:id="488"/>
      <w:r>
        <w:rPr>
          <w:rFonts w:ascii="Times New Roman;Times;Serif" w:hAnsi="Times New Roman;Times;Serif"/>
          <w:b w:val="false"/>
          <w:i w:val="false"/>
          <w:caps w:val="false"/>
          <w:smallCaps w:val="false"/>
          <w:sz w:val="20"/>
        </w:rPr>
        <w:t>0.9 million in 2025 (2024: €</w:t>
      </w:r>
      <w:bookmarkStart w:id="489" w:name="xdx_90F_eifrs-full--Advances_iI_pn5n6_uE"/>
      <w:bookmarkEnd w:id="489"/>
      <w:r>
        <w:rPr>
          <w:rFonts w:ascii="Times New Roman;Times;Serif" w:hAnsi="Times New Roman;Times;Serif"/>
          <w:b w:val="false"/>
          <w:i w:val="false"/>
          <w:caps w:val="false"/>
          <w:smallCaps w:val="false"/>
          <w:sz w:val="20"/>
        </w:rPr>
        <w:t>0.1 million) in order for the Company to meet its obligations. Management has classified these advances, which are paid directly to vendors, within operations due to the nature of the transaction and represent non cash advances to the Company, with limited amounts representing cash financing activities. These advances are non-interest bearing and repayable only if, and when, the Company is 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2024, €</w:t>
      </w:r>
      <w:bookmarkStart w:id="490" w:name="xdx_909_eifrs-full--Advances_iI_pn5n6_uE"/>
      <w:bookmarkEnd w:id="490"/>
      <w:r>
        <w:rPr>
          <w:rFonts w:ascii="Times New Roman;Times;Serif" w:hAnsi="Times New Roman;Times;Serif"/>
          <w:b w:val="false"/>
          <w:i w:val="false"/>
          <w:caps w:val="false"/>
          <w:smallCaps w:val="false"/>
          <w:sz w:val="20"/>
        </w:rPr>
        <w:t>4.6 million of advances payable to Jack Kaye were converted to ordinary shares at a conversion ratio of 1 ordinary share for the equivalent of every $10 owed. Other creditors also converted amounts owed to them to equity on the same ratio, leaving a balance of €</w:t>
      </w:r>
      <w:bookmarkStart w:id="491" w:name="xdx_90F_eifrs-full--TradeAndOtherCurrent"/>
      <w:bookmarkEnd w:id="491"/>
      <w:r>
        <w:rPr>
          <w:rFonts w:ascii="Times New Roman;Times;Serif" w:hAnsi="Times New Roman;Times;Serif"/>
          <w:b w:val="false"/>
          <w:i w:val="false"/>
          <w:caps w:val="false"/>
          <w:smallCaps w:val="false"/>
          <w:sz w:val="20"/>
        </w:rPr>
        <w:t>39,755 in Trade and other payables on the Consolidated Statement of Financial Position as of December 31, 2024. Included in the balance is €</w:t>
      </w:r>
      <w:bookmarkStart w:id="492" w:name="xdx_906_eifrs-full--TradeAndOtherCurrent"/>
      <w:bookmarkEnd w:id="492"/>
      <w:r>
        <w:rPr>
          <w:rFonts w:ascii="Times New Roman;Times;Serif" w:hAnsi="Times New Roman;Times;Serif"/>
          <w:b w:val="false"/>
          <w:i w:val="false"/>
          <w:caps w:val="false"/>
          <w:smallCaps w:val="false"/>
          <w:sz w:val="20"/>
        </w:rPr>
        <w:t>30,804 owed to Jack Kaye. See Note 21 Related party transactions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93" w:name="xdx_80B_eifrs-full--DisclosureOfFairValu"/>
      <w:bookmarkEnd w:id="493"/>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45"/>
        <w:gridCol w:w="2765"/>
      </w:tblGrid>
      <w:tr>
        <w:trPr/>
        <w:tc>
          <w:tcPr>
            <w:tcW w:w="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2765" w:type="dxa"/>
            <w:tcBorders/>
            <w:vAlign w:val="center"/>
          </w:tcPr>
          <w:p>
            <w:pPr>
              <w:pStyle w:val="TableContents"/>
              <w:bidi w:val="0"/>
              <w:spacing w:before="0" w:after="283"/>
              <w:jc w:val="both"/>
              <w:rPr>
                <w:rFonts w:ascii="Times New Roman;Times;Serif" w:hAnsi="Times New Roman;Times;Serif"/>
                <w:b/>
                <w:sz w:val="20"/>
              </w:rPr>
            </w:pPr>
            <w:bookmarkStart w:id="494" w:name="xdx_821_zVMItoAwZi8t"/>
            <w:bookmarkEnd w:id="494"/>
            <w:r>
              <w:rPr>
                <w:rFonts w:ascii="Times New Roman;Times;Serif" w:hAnsi="Times New Roman;Times;Serif"/>
                <w:b/>
                <w:sz w:val="20"/>
              </w:rPr>
              <w:t>Fair value of financial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 that the carrying amounts of financial liabilities carried at amortized cost in the consolidated financial statements approximate their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95" w:name="xdx_23F_zcEhfWlgzVvj"/>
      <w:bookmarkEnd w:id="495"/>
      <w:r>
        <w:rPr>
          <w:caps w:val="false"/>
          <w:smallCaps w:val="false"/>
        </w:rPr>
        <w:t> </w:t>
      </w:r>
    </w:p>
    <w:p>
      <w:pPr>
        <w:pStyle w:val="TextBody"/>
        <w:bidi w:val="0"/>
        <w:spacing w:before="0" w:after="0"/>
        <w:ind w:left="0" w:right="0" w:hanging="0"/>
        <w:jc w:val="both"/>
        <w:rPr>
          <w:caps w:val="false"/>
          <w:smallCaps w:val="false"/>
        </w:rPr>
      </w:pPr>
      <w:bookmarkStart w:id="496" w:name="xdx_23F_zaPzrVcsY7c9"/>
      <w:bookmarkEnd w:id="496"/>
      <w:r>
        <w:rPr>
          <w:caps w:val="false"/>
          <w:smallCaps w:val="false"/>
        </w:rPr>
        <w:t> </w:t>
      </w:r>
    </w:p>
    <w:p>
      <w:pPr>
        <w:pStyle w:val="TextBody"/>
        <w:bidi w:val="0"/>
        <w:spacing w:before="0" w:after="0"/>
        <w:ind w:left="0" w:right="0" w:hanging="0"/>
        <w:jc w:val="both"/>
        <w:rPr>
          <w:caps w:val="false"/>
          <w:smallCaps w:val="false"/>
        </w:rPr>
      </w:pPr>
      <w:bookmarkStart w:id="497" w:name="xdx_236_zdvZznngHACr"/>
      <w:bookmarkEnd w:id="49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bookmarkStart w:id="498" w:name="xdx_23A_zrLTUnQjee4V"/>
      <w:bookmarkEnd w:id="49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9" w:name="xdx_23B_zNHLednhkuRP"/>
      <w:bookmarkEnd w:id="499"/>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500" w:name="xdx_237_zu8R0D86zBKE"/>
      <w:bookmarkEnd w:id="50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1" w:name="xdx_233_zX1vG36PC01V"/>
      <w:bookmarkEnd w:id="501"/>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502" w:name="xdx_235_zKICtx7DYgK_zVukFiNUVd1x"/>
      <w:bookmarkEnd w:id="50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3" w:name="xdx_232_zureREGxbdzC"/>
      <w:bookmarkEnd w:id="503"/>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4" w:name="xdx_23D_zoP6kgcsgU1n"/>
      <w:bookmarkEnd w:id="504"/>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505" w:name="xdx_23A_zWEvuRG5DjPa"/>
      <w:bookmarkEnd w:id="505"/>
      <w:r>
        <w:rPr>
          <w:caps w:val="false"/>
          <w:smallCaps w:val="false"/>
        </w:rPr>
        <w:t> </w:t>
      </w:r>
    </w:p>
    <w:p>
      <w:pPr>
        <w:pStyle w:val="TextBody"/>
        <w:bidi w:val="0"/>
        <w:spacing w:before="0" w:after="0"/>
        <w:ind w:left="0" w:right="0" w:hanging="0"/>
        <w:jc w:val="both"/>
        <w:rPr>
          <w:caps w:val="false"/>
          <w:smallCaps w:val="false"/>
        </w:rPr>
      </w:pPr>
      <w:bookmarkStart w:id="506" w:name="xdx_802_eifrs-full--DisclosureOfLiquidit"/>
      <w:bookmarkEnd w:id="506"/>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45"/>
        <w:gridCol w:w="1205"/>
      </w:tblGrid>
      <w:tr>
        <w:trPr/>
        <w:tc>
          <w:tcPr>
            <w:tcW w:w="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1205" w:type="dxa"/>
            <w:tcBorders/>
            <w:vAlign w:val="center"/>
          </w:tcPr>
          <w:p>
            <w:pPr>
              <w:pStyle w:val="TableContents"/>
              <w:bidi w:val="0"/>
              <w:spacing w:before="0" w:after="283"/>
              <w:jc w:val="both"/>
              <w:rPr>
                <w:rFonts w:ascii="Times New Roman;Times;Serif" w:hAnsi="Times New Roman;Times;Serif"/>
                <w:b/>
                <w:sz w:val="20"/>
              </w:rPr>
            </w:pPr>
            <w:bookmarkStart w:id="507" w:name="xdx_82C_zoqsRjvtp5ZJ"/>
            <w:bookmarkEnd w:id="507"/>
            <w:r>
              <w:rPr>
                <w:rFonts w:ascii="Times New Roman;Times;Serif" w:hAnsi="Times New Roman;Times;Serif"/>
                <w:b/>
                <w:sz w:val="20"/>
              </w:rPr>
              <w:t>Liquidity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arises when the maturity of assets and liabilities does not match. An unmatched position potentially enhances profitability, but can also increase the risk of losses. The Board of Directors has procedures with the object of minimizing such losses such as maintaining sufficient cash and other highly liquid current assets and by having the ability to receive advances from related parties and/or an adequate amount of committed credit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details the remaining contractual maturity for the Company’s financial liabilities with agreed repayment periods. The contractual maturity is based on the earliest date on which the Company may be required to pay.</w:t>
      </w:r>
    </w:p>
    <w:p>
      <w:pPr>
        <w:pStyle w:val="Normal"/>
        <w:bidi w:val="0"/>
        <w:spacing w:before="0" w:after="0"/>
        <w:jc w:val="left"/>
        <w:rPr>
          <w:sz w:val="4"/>
          <w:szCs w:val="4"/>
        </w:rPr>
      </w:pPr>
      <w:r>
        <w:rPr>
          <w:sz w:val="4"/>
          <w:szCs w:val="4"/>
        </w:rPr>
      </w:r>
      <w:bookmarkStart w:id="508" w:name="xdx_888_eifrs-full--DisclosureOfMaturity"/>
      <w:bookmarkStart w:id="509" w:name="xdx_888_eifrs-full--DisclosureOfMaturity"/>
      <w:bookmarkEnd w:id="509"/>
    </w:p>
    <w:tbl>
      <w:tblPr>
        <w:tblW w:w="3310" w:type="dxa"/>
        <w:jc w:val="left"/>
        <w:tblInd w:w="0" w:type="dxa"/>
        <w:tblLayout w:type="fixed"/>
        <w:tblCellMar>
          <w:top w:w="0" w:type="dxa"/>
          <w:left w:w="0" w:type="dxa"/>
          <w:bottom w:w="0" w:type="dxa"/>
          <w:right w:w="0" w:type="dxa"/>
        </w:tblCellMar>
      </w:tblPr>
      <w:tblGrid>
        <w:gridCol w:w="2435"/>
        <w:gridCol w:w="60"/>
        <w:gridCol w:w="222"/>
        <w:gridCol w:w="518"/>
        <w:gridCol w:w="75"/>
      </w:tblGrid>
      <w:tr>
        <w:trPr/>
        <w:tc>
          <w:tcPr>
            <w:tcW w:w="2435" w:type="dxa"/>
            <w:tcBorders/>
            <w:vAlign w:val="center"/>
          </w:tcPr>
          <w:p>
            <w:pPr>
              <w:pStyle w:val="TableContents"/>
              <w:bidi w:val="0"/>
              <w:spacing w:before="0" w:after="283"/>
              <w:jc w:val="left"/>
              <w:rPr/>
            </w:pPr>
            <w:bookmarkStart w:id="510" w:name="xdx_8B4_zGBOyLyAoZO4"/>
            <w:bookmarkEnd w:id="510"/>
            <w:r>
              <w:rPr/>
              <w:t>Schedule of liquidity risk</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 years</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 December 31, 2024</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from related parties</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11" w:name="xdx_987_ecustom--MaturityAnalysisForDeri"/>
            <w:bookmarkEnd w:id="511"/>
          </w:p>
        </w:tc>
        <w:tc>
          <w:tcPr>
            <w:tcW w:w="51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 December 31, 2025</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from related parties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12" w:name="xdx_984_ecustom--MaturityAnalysisForDeri"/>
            <w:bookmarkEnd w:id="512"/>
          </w:p>
        </w:tc>
        <w:tc>
          <w:tcPr>
            <w:tcW w:w="51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13" w:name="xdx_239_zD56E1ZB9mhO"/>
      <w:bookmarkEnd w:id="513"/>
      <w:r>
        <w:rPr>
          <w:caps w:val="false"/>
          <w:smallCaps w:val="false"/>
        </w:rPr>
        <w:t> </w:t>
      </w:r>
    </w:p>
    <w:p>
      <w:pPr>
        <w:pStyle w:val="TextBody"/>
        <w:bidi w:val="0"/>
        <w:spacing w:before="0" w:after="0"/>
        <w:ind w:left="0" w:right="0" w:hanging="0"/>
        <w:jc w:val="left"/>
        <w:rPr>
          <w:caps w:val="false"/>
          <w:smallCaps w:val="false"/>
        </w:rPr>
      </w:pPr>
      <w:bookmarkStart w:id="514" w:name="xdx_235_zCTOKaIu0MmZ"/>
      <w:bookmarkEnd w:id="514"/>
      <w:r>
        <w:rPr>
          <w:caps w:val="false"/>
          <w:smallCaps w:val="false"/>
        </w:rPr>
        <w:t> </w:t>
      </w:r>
    </w:p>
    <w:p>
      <w:pPr>
        <w:pStyle w:val="TextBody"/>
        <w:bidi w:val="0"/>
        <w:spacing w:before="0" w:after="0"/>
        <w:ind w:left="0" w:right="0" w:hanging="0"/>
        <w:jc w:val="left"/>
        <w:rPr>
          <w:caps w:val="false"/>
          <w:smallCaps w:val="false"/>
        </w:rPr>
      </w:pPr>
      <w:bookmarkStart w:id="515" w:name="xdx_236_z5E6rqjlQMzl"/>
      <w:bookmarkEnd w:id="515"/>
      <w:r>
        <w:rPr>
          <w:caps w:val="false"/>
          <w:smallCaps w:val="false"/>
        </w:rPr>
        <w:t> </w:t>
      </w:r>
    </w:p>
    <w:p>
      <w:pPr>
        <w:pStyle w:val="TextBody"/>
        <w:bidi w:val="0"/>
        <w:spacing w:before="0" w:after="0"/>
        <w:ind w:left="0" w:right="0" w:hanging="0"/>
        <w:jc w:val="left"/>
        <w:rPr>
          <w:caps w:val="false"/>
          <w:smallCaps w:val="false"/>
        </w:rPr>
      </w:pPr>
      <w:bookmarkStart w:id="516" w:name="xdx_23A_zl5NYcRWvTzA"/>
      <w:bookmarkEnd w:id="516"/>
      <w:r>
        <w:rPr>
          <w:caps w:val="false"/>
          <w:smallCaps w:val="false"/>
        </w:rPr>
        <w:t> </w:t>
      </w:r>
    </w:p>
    <w:p>
      <w:pPr>
        <w:pStyle w:val="TextBody"/>
        <w:bidi w:val="0"/>
        <w:spacing w:before="0" w:after="0"/>
        <w:ind w:left="0" w:right="0" w:hanging="0"/>
        <w:jc w:val="left"/>
        <w:rPr>
          <w:caps w:val="false"/>
          <w:smallCaps w:val="false"/>
        </w:rPr>
      </w:pPr>
      <w:bookmarkStart w:id="517" w:name="xdx_235_zZF3dtBX9Uvz"/>
      <w:bookmarkEnd w:id="51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518" w:name="xdx_23C_zuQBatT4oEge"/>
      <w:bookmarkEnd w:id="51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19" w:name="xdx_237_zNdFxlUUe0hv"/>
      <w:bookmarkEnd w:id="519"/>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520" w:name="xdx_234_zvLcKBxDedQC"/>
      <w:bookmarkEnd w:id="52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1" w:name="xdx_238_zRiBO3KCAEOV"/>
      <w:bookmarkEnd w:id="521"/>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522" w:name="xdx_23B_zObrs75tszC1"/>
      <w:bookmarkEnd w:id="52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3" w:name="xdx_238_zTIIXbndSqqD"/>
      <w:bookmarkEnd w:id="523"/>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4" w:name="xdx_23F_zv4RkSLF94Jp"/>
      <w:bookmarkEnd w:id="524"/>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525" w:name="xdx_23A_zvMlMvTjtikV"/>
      <w:bookmarkStart w:id="526" w:name="xdx_233_z2so02UvGcFR"/>
      <w:bookmarkEnd w:id="525"/>
      <w:bookmarkEnd w:id="526"/>
      <w:r>
        <w:rPr>
          <w:caps w:val="false"/>
          <w:smallCaps w:val="false"/>
        </w:rPr>
        <w:t> </w:t>
      </w:r>
    </w:p>
    <w:p>
      <w:pPr>
        <w:pStyle w:val="TextBody"/>
        <w:bidi w:val="0"/>
        <w:spacing w:before="0" w:after="0"/>
        <w:ind w:left="0" w:right="0" w:hanging="0"/>
        <w:jc w:val="left"/>
        <w:rPr>
          <w:caps w:val="false"/>
          <w:smallCaps w:val="false"/>
        </w:rPr>
      </w:pPr>
      <w:bookmarkStart w:id="527" w:name="xdx_80F_eifrs-full--DisclosureOfMarketRi"/>
      <w:bookmarkEnd w:id="527"/>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2180" w:type="dxa"/>
            <w:tcBorders/>
            <w:vAlign w:val="center"/>
          </w:tcPr>
          <w:p>
            <w:pPr>
              <w:pStyle w:val="TableContents"/>
              <w:bidi w:val="0"/>
              <w:spacing w:before="0" w:after="283"/>
              <w:jc w:val="left"/>
              <w:rPr>
                <w:rFonts w:ascii="Times New Roman;Times;Serif" w:hAnsi="Times New Roman;Times;Serif"/>
                <w:b/>
                <w:sz w:val="20"/>
              </w:rPr>
            </w:pPr>
            <w:bookmarkStart w:id="528" w:name="xdx_829_zfuUur89RqG1"/>
            <w:bookmarkEnd w:id="528"/>
            <w:r>
              <w:rPr>
                <w:rFonts w:ascii="Times New Roman;Times;Serif" w:hAnsi="Times New Roman;Times;Serif"/>
                <w:b/>
                <w:sz w:val="20"/>
              </w:rPr>
              <w:t>Market 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geopolitical situation in Eastern Europe intensified on February 24, 2022, with the commencement of the conflict between Russia and Ukraine. As at the date of authorizing these consolidated financial statements for issue, the conflict continues to evolve as military activity proceeds. In addition to the impact of these events on entities that have operations in Russia, Ukraine, or Belarus or that conduct business with counterparties in those jurisdictions, the conflict has affected economies and financial markets globally and has exacerbated ongoing macroeconomic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European Union, as well as the United States of America, Switzerland, the United Kingdom and other countries, have imposed a series of restrictive measures (sanctions) against the Russian and Belarusian governments, various companies, and certain individuals. These sanctions include asset freezes and prohibitions from making funds available to sanctioned individuals and entities. In addition, travel bans applicable to sanctioned individuals prevent them from entering or transiting through the relevant territories. The Republic of Cyprus has adopted United Nations and European Union measures. The continuing evolution of the conflict may lead to the possibility of additional sanctions or other regulatory 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uncertainty regarding the global supply of commodities as a result of the conflict between Russia and Ukraine may also disrupt global trade flows and place upward pressure on commodity prices and input costs. Challenges for companies may include reduced availability of funding to ensure access to raw materials, increased financing costs, heightened counterparty risk and the potential for contractual non-performance.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tensions in the Middle East have also intensified in recent years. The Israel-Gaza conflict escalated significantly after Hamas launched a major attack on Israel on October 7, 2023. More recently, during 2026, hostilities in the region have further expanded following military confrontations involving Iran, Israel and the United States. In February 2026, coordinated military strikes by Israel and the United States against targets in Iran led to retaliatory actions by Iran across the region, contributing to a broader regional security crisis and disruption to shipping routes and energy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developments have increased uncertainty in global financial markets and may affect international trade, energy supply chains and global commodity prices. In particular, tensions affecting key maritime transit routes in the Middle East, including the Strait of Hormuz, have contributed to volatility in global oil and gas markets and heightened geopolitical risk for international commerce. Entities with material subsidiaries, operations, investments, contractual arrangements or joint ventures in the affected regions may be significantly exposed to operational disruptions, financial market volatility and supply chain interruptions. Entities that do not have direct exposure to the Middle East may nevertheless be affected by broader economic consequences, including increased volatility in global energy prices, foreign exchange markets and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direct exposure to Russia, Ukraine or Belarus and does not maintain operations, investments, or counterparties in Israel, Gaza, Iran or other jurisdictions directly involved in the ongoing conflicts. Accordingly, the Company does not expect a significant impact arising from direct exposures to these countries. Despite the limited direct exposure, the conflicts may negatively impact the broader European and global economy. In particular, geopolitical instability may adversely affect the tourism and services industries in Cyprus. Furthermore, increasing energy prices, fluctuations in foreign exchange rates, volatility in financial markets, rising interest rates, supply chain disruptions and inflationary pressures may indirectly impact the operations of the Company. The indirect implications will depend on the extent and duration of these geopolitical developments and remain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considered the unique circumstances and the risk exposures of the Company and has concluded that, as of the date of authorization of these consolidated financial statements, there has been no material impact on the Company’s financial position or results of operations. However, due to the evolving nature of these geopolitical events and the high degree of uncertainty surrounding their potential economic effects, management will continue to monitor developments closely and will assess the need for further action should the situation materially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529" w:name="xdx_235_z5RopNhzjVSM"/>
      <w:bookmarkEnd w:id="52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530" w:name="xdx_230_zF9EaewpTW3H"/>
      <w:bookmarkStart w:id="531" w:name="xdx_237_zvKzdkPtiGIQ"/>
      <w:bookmarkEnd w:id="530"/>
      <w:bookmarkEnd w:id="53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2" w:name="xdx_238_zjtmxrdMJjB_zidmaSuFrBqb"/>
      <w:bookmarkEnd w:id="532"/>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533" w:name="xdx_234_zkOIMdu0ymhj"/>
      <w:bookmarkEnd w:id="53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4" w:name="xdx_231_zCBRdBaVs6Jf"/>
      <w:bookmarkEnd w:id="534"/>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535" w:name="xdx_230_zvMTPDXY0LKD"/>
      <w:bookmarkEnd w:id="53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6" w:name="xdx_23D_z598ggxV2gZg"/>
      <w:bookmarkEnd w:id="536"/>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7" w:name="xdx_23D_zXtM5Stuc3TV"/>
      <w:bookmarkEnd w:id="537"/>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538" w:name="xdx_235_zedJ1mpgRWTb"/>
      <w:bookmarkStart w:id="539" w:name="xdx_230_zUongmeQZzrg"/>
      <w:bookmarkEnd w:id="538"/>
      <w:bookmarkEnd w:id="539"/>
      <w:r>
        <w:rPr>
          <w:caps w:val="false"/>
          <w:smallCaps w:val="false"/>
        </w:rPr>
        <w:t> </w:t>
      </w:r>
    </w:p>
    <w:p>
      <w:pPr>
        <w:pStyle w:val="TextBody"/>
        <w:bidi w:val="0"/>
        <w:spacing w:before="0" w:after="0"/>
        <w:ind w:left="0" w:right="0" w:hanging="0"/>
        <w:jc w:val="left"/>
        <w:rPr>
          <w:caps w:val="false"/>
          <w:smallCaps w:val="false"/>
        </w:rPr>
      </w:pPr>
      <w:bookmarkStart w:id="540" w:name="xdx_800_eifrs-full--DisclosureOfTradeAnd"/>
      <w:bookmarkEnd w:id="540"/>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2210" w:type="dxa"/>
            <w:tcBorders/>
            <w:vAlign w:val="center"/>
          </w:tcPr>
          <w:p>
            <w:pPr>
              <w:pStyle w:val="TableContents"/>
              <w:bidi w:val="0"/>
              <w:spacing w:before="0" w:after="283"/>
              <w:jc w:val="left"/>
              <w:rPr>
                <w:rFonts w:ascii="Times New Roman;Times;Serif" w:hAnsi="Times New Roman;Times;Serif"/>
                <w:b/>
                <w:sz w:val="20"/>
              </w:rPr>
            </w:pPr>
            <w:bookmarkStart w:id="541" w:name="xdx_825_zxN13Vy7MVHZ"/>
            <w:bookmarkEnd w:id="541"/>
            <w:r>
              <w:rPr>
                <w:rFonts w:ascii="Times New Roman;Times;Serif" w:hAnsi="Times New Roman;Times;Serif"/>
                <w:b/>
                <w:sz w:val="20"/>
              </w:rPr>
              <w:t>Trade and other payables</w:t>
            </w:r>
          </w:p>
        </w:tc>
      </w:tr>
    </w:tbl>
    <w:p>
      <w:pPr>
        <w:pStyle w:val="Normal"/>
        <w:bidi w:val="0"/>
        <w:spacing w:before="0" w:after="0"/>
        <w:ind w:left="0" w:right="0" w:hanging="0"/>
        <w:jc w:val="left"/>
        <w:rPr>
          <w:sz w:val="4"/>
          <w:szCs w:val="4"/>
        </w:rPr>
      </w:pPr>
      <w:r>
        <w:rPr>
          <w:sz w:val="4"/>
          <w:szCs w:val="4"/>
        </w:rPr>
      </w:r>
      <w:bookmarkStart w:id="542" w:name="xdx_88E_ecustom--ScheduleOfTradeAndOther"/>
      <w:bookmarkStart w:id="543" w:name="xdx_88E_ecustom--ScheduleOfTradeAndOther"/>
      <w:bookmarkEnd w:id="543"/>
    </w:p>
    <w:tbl>
      <w:tblPr>
        <w:tblW w:w="5070" w:type="dxa"/>
        <w:jc w:val="left"/>
        <w:tblInd w:w="0" w:type="dxa"/>
        <w:tblLayout w:type="fixed"/>
        <w:tblCellMar>
          <w:top w:w="0" w:type="dxa"/>
          <w:left w:w="0" w:type="dxa"/>
          <w:bottom w:w="0" w:type="dxa"/>
          <w:right w:w="0" w:type="dxa"/>
        </w:tblCellMar>
      </w:tblPr>
      <w:tblGrid>
        <w:gridCol w:w="3515"/>
        <w:gridCol w:w="60"/>
        <w:gridCol w:w="60"/>
        <w:gridCol w:w="590"/>
        <w:gridCol w:w="60"/>
        <w:gridCol w:w="60"/>
        <w:gridCol w:w="60"/>
        <w:gridCol w:w="590"/>
        <w:gridCol w:w="75"/>
      </w:tblGrid>
      <w:tr>
        <w:trPr/>
        <w:tc>
          <w:tcPr>
            <w:tcW w:w="3515" w:type="dxa"/>
            <w:tcBorders/>
            <w:vAlign w:val="center"/>
          </w:tcPr>
          <w:p>
            <w:pPr>
              <w:pStyle w:val="TableContents"/>
              <w:bidi w:val="0"/>
              <w:spacing w:before="0" w:after="283"/>
              <w:jc w:val="left"/>
              <w:rPr/>
            </w:pPr>
            <w:bookmarkStart w:id="544" w:name="xdx_8B4_zjqL9bH4G348"/>
            <w:bookmarkEnd w:id="544"/>
            <w:r>
              <w:rPr/>
              <w:t>Schedule of trade and other payables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5" w:name="xdx_49E_20251231_zC9YpGzkgQ0u"/>
            <w:bookmarkEnd w:id="545"/>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6" w:name="xdx_495_20241231_z54hhsv9Dnsa"/>
            <w:bookmarkEnd w:id="546"/>
          </w:p>
        </w:tc>
        <w:tc>
          <w:tcPr>
            <w:tcW w:w="59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bookmarkStart w:id="547" w:name="xdx_404_eifrs-full--TradeAndOtherPayable"/>
            <w:bookmarkEnd w:id="547"/>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2,952</w:t>
            </w:r>
          </w:p>
        </w:tc>
        <w:tc>
          <w:tcPr>
            <w:tcW w:w="75" w:type="dxa"/>
            <w:tcBorders/>
            <w:shd w:fill="CCEEFF" w:val="clear"/>
            <w:vAlign w:val="center"/>
          </w:tcPr>
          <w:p>
            <w:pPr>
              <w:pStyle w:val="TableContents"/>
              <w:bidi w:val="0"/>
              <w:spacing w:before="0" w:after="283"/>
              <w:jc w:val="left"/>
              <w:rPr/>
            </w:pPr>
            <w:r>
              <w:rPr/>
              <w:t> </w:t>
            </w:r>
            <w:bookmarkStart w:id="548" w:name="xdx_407_eifrs-full--Accruals_iI_d0_z59mg"/>
            <w:bookmarkEnd w:id="548"/>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75" w:type="dxa"/>
            <w:tcBorders/>
            <w:shd w:fill="FFFFFF" w:val="clear"/>
            <w:vAlign w:val="center"/>
          </w:tcPr>
          <w:p>
            <w:pPr>
              <w:pStyle w:val="TableContents"/>
              <w:bidi w:val="0"/>
              <w:spacing w:before="0" w:after="283"/>
              <w:jc w:val="left"/>
              <w:rPr/>
            </w:pPr>
            <w:r>
              <w:rPr/>
              <w:t> </w:t>
            </w:r>
            <w:bookmarkStart w:id="549" w:name="xdx_401_eifrs-full--OtherPayables_iI_d0_"/>
            <w:bookmarkEnd w:id="549"/>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30,804</w:t>
            </w:r>
          </w:p>
        </w:tc>
        <w:tc>
          <w:tcPr>
            <w:tcW w:w="75" w:type="dxa"/>
            <w:tcBorders/>
            <w:shd w:fill="CCEEFF" w:val="clear"/>
            <w:vAlign w:val="center"/>
          </w:tcPr>
          <w:p>
            <w:pPr>
              <w:pStyle w:val="TableContents"/>
              <w:bidi w:val="0"/>
              <w:spacing w:before="0" w:after="283"/>
              <w:jc w:val="left"/>
              <w:rPr/>
            </w:pPr>
            <w:r>
              <w:rPr/>
              <w:t> </w:t>
            </w:r>
            <w:bookmarkStart w:id="550" w:name="xdx_40F_eifrs-full--TradeAndOtherPayable"/>
            <w:bookmarkEnd w:id="550"/>
          </w:p>
        </w:tc>
      </w:tr>
      <w:tr>
        <w:trPr/>
        <w:tc>
          <w:tcPr>
            <w:tcW w:w="3515" w:type="dxa"/>
            <w:tcBorders/>
            <w:shd w:fill="FFFFFF" w:val="clear"/>
            <w:vAlign w:val="center"/>
          </w:tcPr>
          <w:p>
            <w:pPr>
              <w:pStyle w:val="TableContents"/>
              <w:bidi w:val="0"/>
              <w:spacing w:before="0" w:after="283"/>
              <w:jc w:val="left"/>
              <w:rPr>
                <w:b/>
              </w:rPr>
            </w:pPr>
            <w:r>
              <w:rPr>
                <w:b/>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1" w:name="xdx_884_ecustom--AccrualRollforwardTable"/>
      <w:bookmarkStart w:id="552" w:name="xdx_884_ecustom--AccrualRollforwardTable"/>
      <w:bookmarkEnd w:id="552"/>
    </w:p>
    <w:tbl>
      <w:tblPr>
        <w:tblW w:w="4470" w:type="dxa"/>
        <w:jc w:val="left"/>
        <w:tblInd w:w="0" w:type="dxa"/>
        <w:tblLayout w:type="fixed"/>
        <w:tblCellMar>
          <w:top w:w="0" w:type="dxa"/>
          <w:left w:w="0" w:type="dxa"/>
          <w:bottom w:w="0" w:type="dxa"/>
          <w:right w:w="0" w:type="dxa"/>
        </w:tblCellMar>
      </w:tblPr>
      <w:tblGrid>
        <w:gridCol w:w="3020"/>
        <w:gridCol w:w="60"/>
        <w:gridCol w:w="60"/>
        <w:gridCol w:w="590"/>
        <w:gridCol w:w="60"/>
        <w:gridCol w:w="60"/>
        <w:gridCol w:w="60"/>
        <w:gridCol w:w="485"/>
        <w:gridCol w:w="75"/>
      </w:tblGrid>
      <w:tr>
        <w:trPr/>
        <w:tc>
          <w:tcPr>
            <w:tcW w:w="3020" w:type="dxa"/>
            <w:tcBorders/>
            <w:vAlign w:val="center"/>
          </w:tcPr>
          <w:p>
            <w:pPr>
              <w:pStyle w:val="TableContents"/>
              <w:bidi w:val="0"/>
              <w:spacing w:before="0" w:after="283"/>
              <w:jc w:val="left"/>
              <w:rPr/>
            </w:pPr>
            <w:bookmarkStart w:id="553" w:name="xdx_8B7_ztq3RsdzRHNs"/>
            <w:bookmarkEnd w:id="553"/>
            <w:r>
              <w:rPr/>
              <w:t>Schedule of accrual rollforward</w:t>
            </w:r>
          </w:p>
        </w:tc>
        <w:tc>
          <w:tcPr>
            <w:tcW w:w="60" w:type="dxa"/>
            <w:tcBorders/>
            <w:vAlign w:val="center"/>
          </w:tcPr>
          <w:p>
            <w:pPr>
              <w:pStyle w:val="TableContents"/>
              <w:bidi w:val="0"/>
              <w:spacing w:before="0" w:after="283"/>
              <w:jc w:val="left"/>
              <w:rPr/>
            </w:pPr>
            <w:r>
              <w:rPr/>
              <w:t> </w:t>
            </w:r>
            <w:bookmarkStart w:id="554" w:name="xdx_493_20250101__20251231_zLENWoIS9KIr"/>
            <w:bookmarkEnd w:id="554"/>
          </w:p>
        </w:tc>
        <w:tc>
          <w:tcPr>
            <w:tcW w:w="6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5" w:name="xdx_494_20240101__20241231_zZth9BgJJm6x"/>
            <w:bookmarkEnd w:id="555"/>
          </w:p>
        </w:tc>
        <w:tc>
          <w:tcPr>
            <w:tcW w:w="54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Accruals</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bookmarkStart w:id="556" w:name="xdx_400_eifrs-full--Accruals_iS_d0_zzPgi"/>
            <w:bookmarkEnd w:id="556"/>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57" w:name="xdx_40E_ecustom--IncreaseInAccruals_zHRP"/>
            <w:bookmarkEnd w:id="557"/>
          </w:p>
        </w:tc>
      </w:tr>
      <w:tr>
        <w:trPr/>
        <w:tc>
          <w:tcPr>
            <w:tcW w:w="30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75" w:type="dxa"/>
            <w:tcBorders/>
            <w:shd w:fill="FFFFFF" w:val="clear"/>
            <w:vAlign w:val="center"/>
          </w:tcPr>
          <w:p>
            <w:pPr>
              <w:pStyle w:val="TableContents"/>
              <w:bidi w:val="0"/>
              <w:spacing w:before="0" w:after="283"/>
              <w:jc w:val="left"/>
              <w:rPr/>
            </w:pPr>
            <w:r>
              <w:rPr/>
              <w:t> </w:t>
            </w:r>
            <w:bookmarkStart w:id="558" w:name="xdx_40C_eifrs-full--Accruals_iE_zPaIZBfe"/>
            <w:bookmarkEnd w:id="558"/>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December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59" w:name="xdx_80F_eifrs-full--DisclosureOfShareCap"/>
      <w:bookmarkEnd w:id="559"/>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45"/>
        <w:gridCol w:w="225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2255" w:type="dxa"/>
            <w:tcBorders/>
            <w:vAlign w:val="center"/>
          </w:tcPr>
          <w:p>
            <w:pPr>
              <w:pStyle w:val="TableContents"/>
              <w:bidi w:val="0"/>
              <w:spacing w:before="0" w:after="283"/>
              <w:jc w:val="left"/>
              <w:rPr>
                <w:rFonts w:ascii="Times New Roman;Times;Serif" w:hAnsi="Times New Roman;Times;Serif"/>
                <w:b/>
                <w:sz w:val="20"/>
              </w:rPr>
            </w:pPr>
            <w:bookmarkStart w:id="560" w:name="xdx_825_zQ4YzpNiqTaq"/>
            <w:bookmarkEnd w:id="560"/>
            <w:r>
              <w:rPr>
                <w:rFonts w:ascii="Times New Roman;Times;Serif" w:hAnsi="Times New Roman;Times;Serif"/>
                <w:b/>
                <w:sz w:val="20"/>
              </w:rPr>
              <w:t>Share capital – as restated</w:t>
            </w:r>
          </w:p>
        </w:tc>
      </w:tr>
    </w:tbl>
    <w:p>
      <w:pPr>
        <w:pStyle w:val="Normal"/>
        <w:bidi w:val="0"/>
        <w:spacing w:before="0" w:after="0"/>
        <w:ind w:left="0" w:right="0" w:hanging="0"/>
        <w:jc w:val="left"/>
        <w:rPr>
          <w:sz w:val="4"/>
          <w:szCs w:val="4"/>
        </w:rPr>
      </w:pPr>
      <w:r>
        <w:rPr>
          <w:sz w:val="4"/>
          <w:szCs w:val="4"/>
        </w:rPr>
      </w:r>
      <w:bookmarkStart w:id="561" w:name="xdx_88B_eifrs-full--DisclosureOfClassesO"/>
      <w:bookmarkStart w:id="562" w:name="xdx_88B_eifrs-full--DisclosureOfClassesO"/>
      <w:bookmarkEnd w:id="562"/>
    </w:p>
    <w:tbl>
      <w:tblPr>
        <w:tblW w:w="8080" w:type="dxa"/>
        <w:jc w:val="left"/>
        <w:tblInd w:w="0" w:type="dxa"/>
        <w:tblLayout w:type="fixed"/>
        <w:tblCellMar>
          <w:top w:w="0" w:type="dxa"/>
          <w:left w:w="0" w:type="dxa"/>
          <w:bottom w:w="0" w:type="dxa"/>
          <w:right w:w="0" w:type="dxa"/>
        </w:tblCellMar>
      </w:tblPr>
      <w:tblGrid>
        <w:gridCol w:w="2945"/>
        <w:gridCol w:w="60"/>
        <w:gridCol w:w="60"/>
        <w:gridCol w:w="1220"/>
        <w:gridCol w:w="60"/>
        <w:gridCol w:w="60"/>
        <w:gridCol w:w="60"/>
        <w:gridCol w:w="1220"/>
        <w:gridCol w:w="60"/>
        <w:gridCol w:w="60"/>
        <w:gridCol w:w="60"/>
        <w:gridCol w:w="980"/>
        <w:gridCol w:w="60"/>
        <w:gridCol w:w="60"/>
        <w:gridCol w:w="60"/>
        <w:gridCol w:w="980"/>
        <w:gridCol w:w="75"/>
      </w:tblGrid>
      <w:tr>
        <w:trPr/>
        <w:tc>
          <w:tcPr>
            <w:tcW w:w="2945" w:type="dxa"/>
            <w:tcBorders/>
            <w:vAlign w:val="center"/>
          </w:tcPr>
          <w:p>
            <w:pPr>
              <w:pStyle w:val="TableContents"/>
              <w:bidi w:val="0"/>
              <w:spacing w:before="0" w:after="283"/>
              <w:jc w:val="left"/>
              <w:rPr/>
            </w:pPr>
            <w:bookmarkStart w:id="563" w:name="xdx_8BF_z5MuvM7K5Hp2"/>
            <w:bookmarkEnd w:id="563"/>
            <w:r>
              <w:rPr/>
              <w:t>Schedule of share capital</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center"/>
              <w:rPr/>
            </w:pPr>
            <w:r>
              <w:rPr/>
              <w:t> </w:t>
            </w:r>
          </w:p>
        </w:tc>
      </w:tr>
      <w:tr>
        <w:trPr/>
        <w:tc>
          <w:tcPr>
            <w:tcW w:w="2945" w:type="dxa"/>
            <w:tcBorders/>
            <w:shd w:fill="CCEEFF" w:val="clear"/>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 capital authorized</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 of €.01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4" w:name="xdx_983_eifrs-full--NumberOfSharesAuthor"/>
            <w:bookmarkEnd w:id="564"/>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5" w:name="xdx_98E_eifrs-full--NumberOfSharesAuthor"/>
            <w:bookmarkEnd w:id="565"/>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6" w:name="xdx_984_ecustom--NumberOfSharesAuthorise"/>
            <w:bookmarkEnd w:id="56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7" w:name="xdx_983_ecustom--NumberOfSharesAuthorise"/>
            <w:bookmarkEnd w:id="56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fully paid</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 of €.01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8" w:name="xdx_988_eifrs-full--NumberOfSharesIssued"/>
            <w:bookmarkEnd w:id="568"/>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9" w:name="xdx_986_eifrs-full--NumberOfSharesIssued"/>
            <w:bookmarkEnd w:id="569"/>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0" w:name="xdx_98B_ecustom--NumberOfSharesIssuedEur"/>
            <w:bookmarkEnd w:id="57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1" w:name="xdx_98D_ecustom--NumberOfSharesIssuedEur"/>
            <w:bookmarkEnd w:id="57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72" w:name="xdx_881_ecustom--DisclosureOfClassesOfSh"/>
      <w:bookmarkStart w:id="573" w:name="xdx_881_ecustom--DisclosureOfClassesOfSh"/>
      <w:bookmarkEnd w:id="573"/>
    </w:p>
    <w:tbl>
      <w:tblPr>
        <w:tblW w:w="6090" w:type="dxa"/>
        <w:jc w:val="left"/>
        <w:tblInd w:w="0" w:type="dxa"/>
        <w:tblLayout w:type="fixed"/>
        <w:tblCellMar>
          <w:top w:w="0" w:type="dxa"/>
          <w:left w:w="0" w:type="dxa"/>
          <w:bottom w:w="0" w:type="dxa"/>
          <w:right w:w="0" w:type="dxa"/>
        </w:tblCellMar>
      </w:tblPr>
      <w:tblGrid>
        <w:gridCol w:w="3815"/>
        <w:gridCol w:w="60"/>
        <w:gridCol w:w="60"/>
        <w:gridCol w:w="950"/>
        <w:gridCol w:w="60"/>
        <w:gridCol w:w="60"/>
        <w:gridCol w:w="60"/>
        <w:gridCol w:w="950"/>
        <w:gridCol w:w="75"/>
      </w:tblGrid>
      <w:tr>
        <w:trPr/>
        <w:tc>
          <w:tcPr>
            <w:tcW w:w="3815" w:type="dxa"/>
            <w:tcBorders/>
            <w:vAlign w:val="center"/>
          </w:tcPr>
          <w:p>
            <w:pPr>
              <w:pStyle w:val="TableContents"/>
              <w:bidi w:val="0"/>
              <w:spacing w:before="0" w:after="283"/>
              <w:jc w:val="left"/>
              <w:rPr/>
            </w:pPr>
            <w:bookmarkStart w:id="574" w:name="xdx_8B8_z30ZRERVFTXb"/>
            <w:bookmarkEnd w:id="574"/>
            <w:r>
              <w:rPr/>
              <w:t>Schedule of shares issued and fully paid</w:t>
            </w:r>
          </w:p>
        </w:tc>
        <w:tc>
          <w:tcPr>
            <w:tcW w:w="60" w:type="dxa"/>
            <w:tcBorders/>
            <w:vAlign w:val="center"/>
          </w:tcPr>
          <w:p>
            <w:pPr>
              <w:pStyle w:val="TableContents"/>
              <w:bidi w:val="0"/>
              <w:spacing w:before="0" w:after="283"/>
              <w:jc w:val="left"/>
              <w:rPr/>
            </w:pPr>
            <w:r>
              <w:rPr/>
              <w:t> </w:t>
            </w:r>
            <w:bookmarkStart w:id="575" w:name="xdx_493_20250101__20251231_zemBozz6IZM_z"/>
            <w:bookmarkEnd w:id="575"/>
          </w:p>
        </w:tc>
        <w:tc>
          <w:tcPr>
            <w:tcW w:w="10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6" w:name="xdx_493_20240101__20241231_zI2iCy9vYls5"/>
            <w:bookmarkEnd w:id="576"/>
          </w:p>
        </w:tc>
        <w:tc>
          <w:tcPr>
            <w:tcW w:w="101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Issued and Fully Paid</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77" w:name="xdx_40D_eifrs-full--NumberOfSharesIssued"/>
            <w:bookmarkEnd w:id="577"/>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20,000,000</w:t>
            </w:r>
          </w:p>
        </w:tc>
        <w:tc>
          <w:tcPr>
            <w:tcW w:w="75" w:type="dxa"/>
            <w:tcBorders/>
            <w:shd w:fill="CCEEFF" w:val="clear"/>
            <w:vAlign w:val="center"/>
          </w:tcPr>
          <w:p>
            <w:pPr>
              <w:pStyle w:val="TableContents"/>
              <w:bidi w:val="0"/>
              <w:spacing w:before="0" w:after="283"/>
              <w:jc w:val="left"/>
              <w:rPr/>
            </w:pPr>
            <w:r>
              <w:rPr/>
              <w:t> </w:t>
            </w:r>
            <w:bookmarkStart w:id="578" w:name="xdx_408_eifrs-full--IncreaseDecreaseInNu"/>
            <w:bookmarkEnd w:id="578"/>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w:t>
            </w:r>
          </w:p>
        </w:tc>
        <w:tc>
          <w:tcPr>
            <w:tcW w:w="75" w:type="dxa"/>
            <w:tcBorders/>
            <w:shd w:fill="FFFFFF" w:val="clear"/>
            <w:vAlign w:val="center"/>
          </w:tcPr>
          <w:p>
            <w:pPr>
              <w:pStyle w:val="TableContents"/>
              <w:bidi w:val="0"/>
              <w:spacing w:before="0" w:after="283"/>
              <w:jc w:val="left"/>
              <w:rPr/>
            </w:pPr>
            <w:r>
              <w:rPr/>
              <w:t> </w:t>
            </w:r>
            <w:bookmarkStart w:id="579" w:name="xdx_40A_eifrs-full--NumberOfSharesIssued"/>
            <w:bookmarkEnd w:id="579"/>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December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29, 2022, the Company was formed with an initial issuance of </w:t>
      </w:r>
      <w:bookmarkStart w:id="580" w:name="xdx_90D_eifrs-full--NumberOfSharesIssued"/>
      <w:bookmarkEnd w:id="580"/>
      <w:r>
        <w:rPr>
          <w:rFonts w:ascii="Times New Roman;Times;Serif" w:hAnsi="Times New Roman;Times;Serif"/>
          <w:b w:val="false"/>
          <w:i w:val="false"/>
          <w:caps w:val="false"/>
          <w:smallCaps w:val="false"/>
          <w:sz w:val="20"/>
        </w:rPr>
        <w:t>12,258,458 shares of stock at € .01 par value for a total of €</w:t>
      </w:r>
      <w:bookmarkStart w:id="581" w:name="xdx_90B_eifrs-full--IssuedCapital_iI_c20"/>
      <w:bookmarkEnd w:id="581"/>
      <w:r>
        <w:rPr>
          <w:rFonts w:ascii="Times New Roman;Times;Serif" w:hAnsi="Times New Roman;Times;Serif"/>
          <w:b w:val="false"/>
          <w:i w:val="false"/>
          <w:caps w:val="false"/>
          <w:smallCaps w:val="false"/>
          <w:sz w:val="20"/>
        </w:rPr>
        <w:t xml:space="preserve"> 122,585.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82" w:name="xdx_230_znSA2VVF83VW"/>
      <w:bookmarkEnd w:id="58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583" w:name="xdx_23C_zJ57Oo6YtB4U"/>
      <w:bookmarkStart w:id="584" w:name="xdx_23E_zDscSvpfu08V"/>
      <w:bookmarkEnd w:id="583"/>
      <w:bookmarkEnd w:id="58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5" w:name="xdx_234_zVT5unmO2zu4"/>
      <w:bookmarkEnd w:id="585"/>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586" w:name="xdx_237_zGPUSFc93wmC"/>
      <w:bookmarkEnd w:id="58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7" w:name="xdx_232_zVgt6j0zdgk6"/>
      <w:bookmarkEnd w:id="587"/>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588" w:name="xdx_237_ziKD63FrXl4o"/>
      <w:bookmarkEnd w:id="58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9" w:name="xdx_23D_zTwTsjc4kwaP"/>
      <w:bookmarkEnd w:id="589"/>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0" w:name="xdx_230_z8Nm6NYa6gNV"/>
      <w:bookmarkEnd w:id="590"/>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591" w:name="xdx_23E_zsUoUYIzN65H"/>
      <w:bookmarkEnd w:id="591"/>
      <w:r>
        <w:rPr>
          <w:caps w:val="false"/>
          <w:smallCaps w:val="false"/>
        </w:rPr>
        <w:t> </w:t>
      </w:r>
    </w:p>
    <w:p>
      <w:pPr>
        <w:pStyle w:val="TextBody"/>
        <w:bidi w:val="0"/>
        <w:spacing w:before="0" w:after="0"/>
        <w:ind w:left="0" w:right="0" w:hanging="0"/>
        <w:jc w:val="both"/>
        <w:rPr>
          <w:caps w:val="false"/>
          <w:smallCaps w:val="false"/>
        </w:rPr>
      </w:pPr>
      <w:bookmarkStart w:id="592" w:name="xdx_23F_zIxtXXnNkcCd"/>
      <w:bookmarkEnd w:id="59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the Company completed the February 2023 common-control transaction pursuant to which intellectual property was transferred from Davion Healthcare Limited (United Kingdom) to the Company. In connection with the overall transaction, the Company’s issued share capital was reorganised such that </w:t>
      </w:r>
      <w:bookmarkStart w:id="593" w:name="xdx_904_ecustom--SharesExchanged_c202301"/>
      <w:bookmarkEnd w:id="593"/>
      <w:r>
        <w:rPr>
          <w:rFonts w:ascii="Times New Roman;Times;Serif" w:hAnsi="Times New Roman;Times;Serif"/>
          <w:b w:val="false"/>
          <w:i w:val="false"/>
          <w:caps w:val="false"/>
          <w:smallCaps w:val="false"/>
          <w:sz w:val="20"/>
        </w:rPr>
        <w:t xml:space="preserve">12,258,458 ordinary shares were held by the relevant shareholders and an additional </w:t>
      </w:r>
      <w:bookmarkStart w:id="594" w:name="xdx_90F_ecustom--SharesIssuedForAcquisit"/>
      <w:bookmarkEnd w:id="594"/>
      <w:r>
        <w:rPr>
          <w:rFonts w:ascii="Times New Roman;Times;Serif" w:hAnsi="Times New Roman;Times;Serif"/>
          <w:b w:val="false"/>
          <w:i w:val="false"/>
          <w:caps w:val="false"/>
          <w:smallCaps w:val="false"/>
          <w:sz w:val="20"/>
        </w:rPr>
        <w:t>7,741,542 ordinary shares were issued at €0.01 par value, resulting in 20,000,000 ordinary shares in issue. The intellectual property transferred in the transaction has been recognised separately at its predecessor carrying amount, as described in Note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2024, the Company issued </w:t>
      </w:r>
      <w:bookmarkStart w:id="595" w:name="xdx_901_ecustom--SharesExchanged_c202401"/>
      <w:bookmarkEnd w:id="595"/>
      <w:r>
        <w:rPr>
          <w:rFonts w:ascii="Times New Roman;Times;Serif" w:hAnsi="Times New Roman;Times;Serif"/>
          <w:b w:val="false"/>
          <w:i w:val="false"/>
          <w:caps w:val="false"/>
          <w:smallCaps w:val="false"/>
          <w:sz w:val="20"/>
        </w:rPr>
        <w:t>4,401,800 shares of stock to various creditors and shareholders in exchange of amounts due to them of €</w:t>
      </w:r>
      <w:bookmarkStart w:id="596" w:name="xdx_90F_ecustom--SharesExchangedIntangib"/>
      <w:bookmarkEnd w:id="596"/>
      <w:r>
        <w:rPr>
          <w:rFonts w:ascii="Times New Roman;Times;Serif" w:hAnsi="Times New Roman;Times;Serif"/>
          <w:b w:val="false"/>
          <w:i w:val="false"/>
          <w:caps w:val="false"/>
          <w:smallCaps w:val="false"/>
          <w:sz w:val="20"/>
        </w:rPr>
        <w:t xml:space="preserve">919,663 and issued </w:t>
      </w:r>
      <w:bookmarkStart w:id="597" w:name="xdx_90E_ecustom--SharesIssuedForAcquisit"/>
      <w:bookmarkEnd w:id="597"/>
      <w:r>
        <w:rPr>
          <w:rFonts w:ascii="Times New Roman;Times;Serif" w:hAnsi="Times New Roman;Times;Serif"/>
          <w:b w:val="false"/>
          <w:i w:val="false"/>
          <w:caps w:val="false"/>
          <w:smallCaps w:val="false"/>
          <w:sz w:val="20"/>
        </w:rPr>
        <w:t>598,246 shares of stock to its officers in exchange for amounts due to them of €</w:t>
      </w:r>
      <w:bookmarkStart w:id="598" w:name="xdx_90E_ecustom--SharesIssuedForAcquisit"/>
      <w:bookmarkEnd w:id="598"/>
      <w:r>
        <w:rPr>
          <w:rFonts w:ascii="Times New Roman;Times;Serif" w:hAnsi="Times New Roman;Times;Serif"/>
          <w:b w:val="false"/>
          <w:i w:val="false"/>
          <w:caps w:val="false"/>
          <w:smallCaps w:val="false"/>
          <w:sz w:val="20"/>
        </w:rPr>
        <w:t>5,600,000.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subject to any externally imposed capital requirements.</w:t>
      </w:r>
    </w:p>
    <w:p>
      <w:pPr>
        <w:pStyle w:val="TextBody"/>
        <w:bidi w:val="0"/>
        <w:spacing w:before="0" w:after="0"/>
        <w:ind w:left="0" w:right="0" w:hanging="0"/>
        <w:jc w:val="left"/>
        <w:rPr>
          <w:caps w:val="false"/>
          <w:smallCaps w:val="false"/>
        </w:rPr>
      </w:pPr>
      <w:bookmarkStart w:id="599" w:name="xdx_80D_eifrs-full--DisclosureOfOtherAss"/>
      <w:bookmarkEnd w:id="599"/>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45"/>
        <w:gridCol w:w="320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3200" w:type="dxa"/>
            <w:tcBorders/>
            <w:vAlign w:val="center"/>
          </w:tcPr>
          <w:p>
            <w:pPr>
              <w:pStyle w:val="TableContents"/>
              <w:bidi w:val="0"/>
              <w:spacing w:before="0" w:after="283"/>
              <w:jc w:val="left"/>
              <w:rPr>
                <w:rFonts w:ascii="Times New Roman;Times;Serif" w:hAnsi="Times New Roman;Times;Serif"/>
                <w:b/>
                <w:sz w:val="20"/>
              </w:rPr>
            </w:pPr>
            <w:bookmarkStart w:id="600" w:name="xdx_82B_zUu3XrTHm2Ko"/>
            <w:bookmarkEnd w:id="600"/>
            <w:r>
              <w:rPr>
                <w:rFonts w:ascii="Times New Roman;Times;Serif" w:hAnsi="Times New Roman;Times;Serif"/>
                <w:b/>
                <w:sz w:val="20"/>
              </w:rPr>
              <w:t xml:space="preserve">Share premium account – as restated </w:t>
            </w:r>
          </w:p>
        </w:tc>
      </w:tr>
    </w:tbl>
    <w:p>
      <w:pPr>
        <w:pStyle w:val="Normal"/>
        <w:bidi w:val="0"/>
        <w:spacing w:before="0" w:after="0"/>
        <w:ind w:left="0" w:right="0" w:hanging="0"/>
        <w:jc w:val="left"/>
        <w:rPr>
          <w:sz w:val="4"/>
          <w:szCs w:val="4"/>
        </w:rPr>
      </w:pPr>
      <w:r>
        <w:rPr>
          <w:sz w:val="4"/>
          <w:szCs w:val="4"/>
        </w:rPr>
      </w:r>
      <w:bookmarkStart w:id="601" w:name="xdx_88E_ecustom--ScheduleOfSharePremiumA"/>
      <w:bookmarkStart w:id="602" w:name="xdx_88E_ecustom--ScheduleOfSharePremiumA"/>
      <w:bookmarkEnd w:id="602"/>
    </w:p>
    <w:tbl>
      <w:tblPr>
        <w:tblW w:w="5475" w:type="dxa"/>
        <w:jc w:val="left"/>
        <w:tblInd w:w="0" w:type="dxa"/>
        <w:tblLayout w:type="fixed"/>
        <w:tblCellMar>
          <w:top w:w="0" w:type="dxa"/>
          <w:left w:w="0" w:type="dxa"/>
          <w:bottom w:w="0" w:type="dxa"/>
          <w:right w:w="0" w:type="dxa"/>
        </w:tblCellMar>
      </w:tblPr>
      <w:tblGrid>
        <w:gridCol w:w="3410"/>
        <w:gridCol w:w="60"/>
        <w:gridCol w:w="60"/>
        <w:gridCol w:w="845"/>
        <w:gridCol w:w="60"/>
        <w:gridCol w:w="60"/>
        <w:gridCol w:w="60"/>
        <w:gridCol w:w="845"/>
        <w:gridCol w:w="75"/>
      </w:tblGrid>
      <w:tr>
        <w:trPr/>
        <w:tc>
          <w:tcPr>
            <w:tcW w:w="3410" w:type="dxa"/>
            <w:tcBorders/>
            <w:vAlign w:val="center"/>
          </w:tcPr>
          <w:p>
            <w:pPr>
              <w:pStyle w:val="TableContents"/>
              <w:bidi w:val="0"/>
              <w:spacing w:before="0" w:after="283"/>
              <w:jc w:val="left"/>
              <w:rPr/>
            </w:pPr>
            <w:bookmarkStart w:id="603" w:name="xdx_8BA_zC6iAziaNlii"/>
            <w:bookmarkEnd w:id="603"/>
            <w:r>
              <w:rPr/>
              <w:t>Schedule of share premium account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4" w:name="xdx_49C_20250101__20251231_zCIlOZ2WZSJX"/>
            <w:bookmarkEnd w:id="604"/>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5" w:name="xdx_490_20240101__20241231_z5N5IuMq1gPH"/>
            <w:bookmarkEnd w:id="605"/>
          </w:p>
        </w:tc>
        <w:tc>
          <w:tcPr>
            <w:tcW w:w="84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bookmarkStart w:id="606" w:name="xdx_405_eifrs-full--SharePremium_iS_z6AS"/>
            <w:bookmarkEnd w:id="606"/>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2,925,719</w:t>
            </w:r>
          </w:p>
        </w:tc>
        <w:tc>
          <w:tcPr>
            <w:tcW w:w="75" w:type="dxa"/>
            <w:tcBorders/>
            <w:shd w:fill="CCEEFF" w:val="clear"/>
            <w:vAlign w:val="center"/>
          </w:tcPr>
          <w:p>
            <w:pPr>
              <w:pStyle w:val="TableContents"/>
              <w:bidi w:val="0"/>
              <w:spacing w:before="0" w:after="283"/>
              <w:jc w:val="left"/>
              <w:rPr/>
            </w:pPr>
            <w:r>
              <w:rPr/>
              <w:t> </w:t>
            </w:r>
            <w:bookmarkStart w:id="607" w:name="xdx_405_ecustom--SharePremiumAdditions_d"/>
            <w:bookmarkEnd w:id="607"/>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6,469,663</w:t>
            </w:r>
          </w:p>
        </w:tc>
        <w:tc>
          <w:tcPr>
            <w:tcW w:w="75" w:type="dxa"/>
            <w:tcBorders/>
            <w:shd w:fill="FFFFFF" w:val="clear"/>
            <w:vAlign w:val="center"/>
          </w:tcPr>
          <w:p>
            <w:pPr>
              <w:pStyle w:val="TableContents"/>
              <w:bidi w:val="0"/>
              <w:spacing w:before="0" w:after="283"/>
              <w:jc w:val="left"/>
              <w:rPr/>
            </w:pPr>
            <w:r>
              <w:rPr/>
              <w:t> </w:t>
            </w:r>
            <w:bookmarkStart w:id="608" w:name="xdx_40A_eifrs-full--SharePremium_iE_zpsQ"/>
            <w:bookmarkEnd w:id="608"/>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December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9,395,382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Direct listing of ordinary shares in the United States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2025, the Company filed a registration statement with the United States Securities &amp; Exchange Commission to list its </w:t>
      </w:r>
      <w:bookmarkStart w:id="609" w:name="xdx_904_eifrs-full--NumberOfSharesOutsta"/>
      <w:bookmarkEnd w:id="609"/>
      <w:r>
        <w:rPr>
          <w:rFonts w:ascii="Times New Roman;Times;Serif" w:hAnsi="Times New Roman;Times;Serif"/>
          <w:b w:val="false"/>
          <w:i w:val="false"/>
          <w:caps w:val="false"/>
          <w:smallCaps w:val="false"/>
          <w:sz w:val="20"/>
        </w:rPr>
        <w:t>25 million outstanding ordinary shares on Nasdaq’s Global Market, solely to permit its registered shareholders the ability to trade their shares in the United States. The registered shareholders may or may not, elect to sell their ordinary shares covered by the registration statement, as and to the extent they determine. The Company will receive no proceeds from the direct listing and the Company’s registration statement became effective on November 28, 2025. As such, the Company is subject to the reporting requirements under the Securities &amp; Exchange Commission as a foreign private issue but is still awaiting clearance from Nasdaq to be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2025, the Company entered into an advisory agreement in connection with its proposed Nasdaq direct listing. Under the terms of the agreement, upon the successful completion of the listing, the advisor is entitled to receive </w:t>
      </w:r>
      <w:bookmarkStart w:id="610" w:name="xdx_90F_ecustom--ReceiveOrdinaryShares_c"/>
      <w:bookmarkEnd w:id="610"/>
      <w:r>
        <w:rPr>
          <w:rFonts w:ascii="Times New Roman;Times;Serif" w:hAnsi="Times New Roman;Times;Serif"/>
          <w:b w:val="false"/>
          <w:i w:val="false"/>
          <w:caps w:val="false"/>
          <w:smallCaps w:val="false"/>
          <w:sz w:val="20"/>
        </w:rPr>
        <w:t>125,000 ordinary shares of the Company and a cash fee of $</w:t>
      </w:r>
      <w:bookmarkStart w:id="611" w:name="xdx_900_eifrs-full--ProceedsFromIssueOfO"/>
      <w:bookmarkEnd w:id="611"/>
      <w:r>
        <w:rPr>
          <w:rFonts w:ascii="Times New Roman;Times;Serif" w:hAnsi="Times New Roman;Times;Serif"/>
          <w:b w:val="false"/>
          <w:i w:val="false"/>
          <w:caps w:val="false"/>
          <w:smallCaps w:val="false"/>
          <w:sz w:val="20"/>
        </w:rPr>
        <w:t>200,000 plus reimbursable expenses up to $</w:t>
      </w:r>
      <w:bookmarkStart w:id="612" w:name="xdx_908_eifrs-full--IssuedCapitalOrdinar"/>
      <w:bookmarkEnd w:id="612"/>
      <w:r>
        <w:rPr>
          <w:rFonts w:ascii="Times New Roman;Times;Serif" w:hAnsi="Times New Roman;Times;Serif"/>
          <w:b w:val="false"/>
          <w:i w:val="false"/>
          <w:caps w:val="false"/>
          <w:smallCaps w:val="false"/>
          <w:sz w:val="20"/>
        </w:rPr>
        <w:t>100,000. The share issuance represents a potential equity-settled share-based payment within the scope of IFRS 2 – Share-based Payment. Because the issuance of shares is contingent upon the successful completion of the listing, the performance condition has not been satisfied as of December 31, 2025, and therefore no share-based payment expense has been recognized in the accompanying consolidated financial statements. The Company will measure the transaction at the fair value of the shares issued on the listing date when the listing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13" w:name="xdx_230_znp7I9qCxwKF"/>
      <w:bookmarkEnd w:id="613"/>
      <w:r>
        <w:rPr>
          <w:caps w:val="false"/>
          <w:smallCaps w:val="false"/>
        </w:rPr>
        <w:t> </w:t>
      </w:r>
    </w:p>
    <w:p>
      <w:pPr>
        <w:pStyle w:val="TextBody"/>
        <w:bidi w:val="0"/>
        <w:spacing w:before="0" w:after="0"/>
        <w:ind w:left="0" w:right="0" w:hanging="0"/>
        <w:jc w:val="left"/>
        <w:rPr>
          <w:caps w:val="false"/>
          <w:smallCaps w:val="false"/>
        </w:rPr>
      </w:pPr>
      <w:bookmarkStart w:id="614" w:name="xdx_232_z2kTQdSIirlq"/>
      <w:bookmarkEnd w:id="61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15" w:name="xdx_238_znYSnVzUgonX"/>
      <w:bookmarkEnd w:id="61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6" w:name="xdx_23C_zEVY4Fcv4CXe"/>
      <w:bookmarkEnd w:id="616"/>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617" w:name="xdx_234_zOTp4nZFReej"/>
      <w:bookmarkEnd w:id="61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8" w:name="xdx_23E_zh5U9Db8PiW2"/>
      <w:bookmarkEnd w:id="618"/>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619" w:name="xdx_238_zJ4dhC1LAWYF"/>
      <w:bookmarkEnd w:id="61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0" w:name="xdx_23E_zVszKkjNIXUC"/>
      <w:bookmarkEnd w:id="620"/>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1" w:name="xdx_230_znduyINjc7Kc"/>
      <w:bookmarkEnd w:id="621"/>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622" w:name="xdx_23F_zQhIXUgZFVU1"/>
      <w:bookmarkEnd w:id="622"/>
      <w:r>
        <w:rPr>
          <w:caps w:val="false"/>
          <w:smallCaps w:val="false"/>
        </w:rPr>
        <w:t> </w:t>
      </w:r>
    </w:p>
    <w:p>
      <w:pPr>
        <w:pStyle w:val="TextBody"/>
        <w:bidi w:val="0"/>
        <w:spacing w:before="0" w:after="0"/>
        <w:ind w:left="0" w:right="0" w:hanging="0"/>
        <w:jc w:val="left"/>
        <w:rPr>
          <w:caps w:val="false"/>
          <w:smallCaps w:val="false"/>
        </w:rPr>
      </w:pPr>
      <w:bookmarkStart w:id="623" w:name="xdx_805_eifrs-full--DisclosureOfRevenueE"/>
      <w:bookmarkEnd w:id="623"/>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45"/>
        <w:gridCol w:w="75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755" w:type="dxa"/>
            <w:tcBorders/>
            <w:vAlign w:val="center"/>
          </w:tcPr>
          <w:p>
            <w:pPr>
              <w:pStyle w:val="TableContents"/>
              <w:bidi w:val="0"/>
              <w:spacing w:before="0" w:after="283"/>
              <w:jc w:val="left"/>
              <w:rPr>
                <w:rFonts w:ascii="Times New Roman;Times;Serif" w:hAnsi="Times New Roman;Times;Serif"/>
                <w:b/>
                <w:sz w:val="20"/>
              </w:rPr>
            </w:pPr>
            <w:bookmarkStart w:id="624" w:name="xdx_824_z5ATVZcT4AMj"/>
            <w:bookmarkEnd w:id="624"/>
            <w:r>
              <w:rPr>
                <w:rFonts w:ascii="Times New Roman;Times;Serif" w:hAnsi="Times New Roman;Times;Serif"/>
                <w:b/>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Licensing Arrangement with NeuRX Health Inc – Historical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Davion Healthcare Plc entered into a Global Manufacturing and Distribution Agreement with NeuRX Health Inc. (“NeuRX”), which granted NeuRX an exclusive worldwide licence to manufacture, market, distribute and sell the Company's BreastCheck product. The agreement was subsequently amended in December 2025. The following disclosure describes the contractual terms in existence as at December 31, 2025. No revenue was recognised under the agreement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license consideration of $</w:t>
      </w:r>
      <w:bookmarkStart w:id="625" w:name="xdx_90E_eifrs-full--ConsiderationPaidRec"/>
      <w:bookmarkEnd w:id="625"/>
      <w:r>
        <w:rPr>
          <w:rFonts w:ascii="Times New Roman;Times;Serif" w:hAnsi="Times New Roman;Times;Serif"/>
          <w:b w:val="false"/>
          <w:i w:val="false"/>
          <w:caps w:val="false"/>
          <w:smallCaps w:val="false"/>
          <w:sz w:val="20"/>
        </w:rPr>
        <w:t>120 million consists of:</w:t>
      </w:r>
    </w:p>
    <w:p>
      <w:pPr>
        <w:pStyle w:val="TextBody"/>
        <w:bidi w:val="0"/>
        <w:spacing w:before="0" w:after="0"/>
        <w:ind w:left="0" w:right="0" w:hanging="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25"/>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65" w:type="dxa"/>
            <w:tcBorders/>
            <w:vAlign w:val="center"/>
          </w:tcPr>
          <w:p>
            <w:pPr>
              <w:pStyle w:val="TableContents"/>
              <w:bidi w:val="0"/>
              <w:spacing w:before="0" w:after="283"/>
              <w:jc w:val="both"/>
              <w:rPr/>
            </w:pPr>
            <w:r>
              <w:rPr/>
              <w:t>$</w:t>
            </w:r>
            <w:bookmarkStart w:id="626" w:name="xdx_90E_eifrs-full--ConsiderationPaidRec"/>
            <w:bookmarkEnd w:id="626"/>
            <w:r>
              <w:rPr/>
              <w:t>1 million payable upon commercial launch in July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65" w:type="dxa"/>
            <w:tcBorders/>
            <w:vAlign w:val="center"/>
          </w:tcPr>
          <w:p>
            <w:pPr>
              <w:pStyle w:val="TableContents"/>
              <w:bidi w:val="0"/>
              <w:spacing w:before="0" w:after="283"/>
              <w:jc w:val="both"/>
              <w:rPr/>
            </w:pPr>
            <w:r>
              <w:rPr/>
              <w:t>$</w:t>
            </w:r>
            <w:bookmarkStart w:id="627" w:name="xdx_90A_eifrs-full--ConsiderationPaidRec"/>
            <w:bookmarkEnd w:id="627"/>
            <w:r>
              <w:rPr/>
              <w:t>19 million payable in twelve monthly installments beginning July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65" w:type="dxa"/>
            <w:tcBorders/>
            <w:vAlign w:val="center"/>
          </w:tcPr>
          <w:p>
            <w:pPr>
              <w:pStyle w:val="TableContents"/>
              <w:bidi w:val="0"/>
              <w:spacing w:before="0" w:after="283"/>
              <w:jc w:val="both"/>
              <w:rPr/>
            </w:pPr>
            <w:r>
              <w:rPr/>
              <w:t>$</w:t>
            </w:r>
            <w:bookmarkStart w:id="628" w:name="xdx_90A_eifrs-full--ConsiderationPaidRec"/>
            <w:bookmarkEnd w:id="628"/>
            <w:r>
              <w:rPr/>
              <w:t>100 million payable in ten annual installments of $</w:t>
            </w:r>
            <w:bookmarkStart w:id="629" w:name="xdx_903_ecustom--ConsiderationPaid_pn6n6"/>
            <w:bookmarkEnd w:id="629"/>
            <w:r>
              <w:rPr/>
              <w:t>10 million each beginning January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the $</w:t>
      </w:r>
      <w:bookmarkStart w:id="630" w:name="xdx_900_eifrs-full--IssueOfEquity_pn6n6_"/>
      <w:bookmarkEnd w:id="630"/>
      <w:r>
        <w:rPr>
          <w:rFonts w:ascii="Times New Roman;Times;Serif" w:hAnsi="Times New Roman;Times;Serif"/>
          <w:b w:val="false"/>
          <w:i w:val="false"/>
          <w:caps w:val="false"/>
          <w:smallCaps w:val="false"/>
          <w:sz w:val="20"/>
        </w:rPr>
        <w:t>100 million portion to be settled through issuance of NeuRX equity securities with a value of $</w:t>
      </w:r>
      <w:bookmarkStart w:id="631" w:name="xdx_905_eifrs-full--EquityInstrumentsHel"/>
      <w:bookmarkEnd w:id="631"/>
      <w:r>
        <w:rPr>
          <w:rFonts w:ascii="Times New Roman;Times;Serif" w:hAnsi="Times New Roman;Times;Serif"/>
          <w:b w:val="false"/>
          <w:i w:val="false"/>
          <w:caps w:val="false"/>
          <w:smallCaps w:val="false"/>
          <w:sz w:val="20"/>
        </w:rPr>
        <w:t>10 million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structure NeuRX will pay:</w:t>
      </w:r>
    </w:p>
    <w:p>
      <w:pPr>
        <w:pStyle w:val="TextBody"/>
        <w:bidi w:val="0"/>
        <w:spacing w:before="0" w:after="0"/>
        <w:ind w:left="0" w:right="0" w:hanging="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25"/>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w:t>
            </w:r>
            <w:bookmarkStart w:id="632" w:name="xdx_90A_ecustom--RoyaltyPerUnit_uUSDPSha"/>
            <w:bookmarkEnd w:id="632"/>
            <w:r>
              <w:rPr/>
              <w:t>5 per BreastCheck unit manufactured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r>
              <w:rPr/>
              <w:t>minimum royalties of $</w:t>
            </w:r>
            <w:bookmarkStart w:id="633" w:name="xdx_904_eifrs-full--RevenueFromConstruct"/>
            <w:bookmarkEnd w:id="633"/>
            <w:r>
              <w:rPr/>
              <w:t>10 million per Contract Year ($</w:t>
            </w:r>
            <w:bookmarkStart w:id="634" w:name="xdx_902_eifrs-full--OtherRevenue_pn6n6_u"/>
            <w:bookmarkEnd w:id="634"/>
            <w:r>
              <w:rPr/>
              <w:t xml:space="preserve">100 million over </w:t>
            </w:r>
            <w:bookmarkStart w:id="635" w:name="xdx_90C_ecustom--RoyaltyRevenueRemaining"/>
            <w:bookmarkEnd w:id="635"/>
            <w:r>
              <w:rPr/>
              <w:t>10 years)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685" w:type="dxa"/>
            <w:tcBorders/>
            <w:vAlign w:val="center"/>
          </w:tcPr>
          <w:p>
            <w:pPr>
              <w:pStyle w:val="TableContents"/>
              <w:bidi w:val="0"/>
              <w:spacing w:before="0" w:after="283"/>
              <w:jc w:val="both"/>
              <w:rPr/>
            </w:pPr>
            <w:bookmarkStart w:id="636" w:name="xdx_906_eifrs-full--PercentageOfEntitysR"/>
            <w:bookmarkEnd w:id="636"/>
            <w:r>
              <w:rPr/>
              <w:t>50% of net revenue from follow-on tests purchased by returning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termination of NeuRX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terminated the Global Manufacturing and Distribution Agreement with NeuRX. As a consequence, NeuRX no longer holds exclusive worldwide manufacturing or distribution rights in respect of BreastCheck and the Company does not expect to receive the future license fees, equity consideration or minimum royalties described above under the terminated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termination, the Company has adopted a commercialization strategy under which it may manufacture and distribute BreastCheck directly, through other members of the Davion group, or through third-party manufacturers and distributors appointed on a regional or territory-specific basis. NeuRX may remain a non-exclusive distributor of BreastCheck in the United States subject to the terms of any separate distribution arrangement.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was a non-adjusting event after the reporting period as it arose from circumstances occurring after December 31, 2025. No amounts relating to future NeuRX license fees, equity consideration or royalties had been recognised as revenue or receivables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37" w:name="xdx_231_zxYP7poMEG7F"/>
      <w:bookmarkEnd w:id="637"/>
      <w:r>
        <w:rPr>
          <w:caps w:val="false"/>
          <w:smallCaps w:val="false"/>
        </w:rPr>
        <w:t> </w:t>
      </w:r>
    </w:p>
    <w:p>
      <w:pPr>
        <w:pStyle w:val="TextBody"/>
        <w:bidi w:val="0"/>
        <w:spacing w:before="0" w:after="0"/>
        <w:ind w:left="0" w:right="0" w:hanging="0"/>
        <w:jc w:val="left"/>
        <w:rPr>
          <w:caps w:val="false"/>
          <w:smallCaps w:val="false"/>
        </w:rPr>
      </w:pPr>
      <w:bookmarkStart w:id="638" w:name="xdx_232_zhShRfgCBrOi"/>
      <w:bookmarkEnd w:id="63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39" w:name="xdx_235_zH71Z2CE3zXt"/>
      <w:bookmarkEnd w:id="63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0" w:name="xdx_23D_zhewgbmEYjxU"/>
      <w:bookmarkEnd w:id="640"/>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641" w:name="xdx_234_zYkAnBtfXiH0"/>
      <w:bookmarkEnd w:id="64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2" w:name="xdx_232_zGoapxu1UgsS"/>
      <w:bookmarkEnd w:id="642"/>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643" w:name="xdx_23F_z3TPRsoyg5p7"/>
      <w:bookmarkEnd w:id="64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4" w:name="xdx_23D_zgnick6iEOtb"/>
      <w:bookmarkEnd w:id="644"/>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5" w:name="xdx_23C_ziAGsRNepiVW"/>
      <w:bookmarkEnd w:id="645"/>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caps w:val="false"/>
          <w:smallCaps w:val="false"/>
        </w:rPr>
      </w:pPr>
      <w:bookmarkStart w:id="646" w:name="xdx_232_zdOk4xMNxtjM"/>
      <w:bookmarkEnd w:id="646"/>
      <w:r>
        <w:rPr>
          <w:caps w:val="false"/>
          <w:smallCaps w:val="false"/>
        </w:rPr>
        <w:t> </w:t>
      </w:r>
    </w:p>
    <w:p>
      <w:pPr>
        <w:pStyle w:val="TextBody"/>
        <w:bidi w:val="0"/>
        <w:spacing w:before="0" w:after="0"/>
        <w:ind w:left="0" w:right="0" w:hanging="0"/>
        <w:jc w:val="left"/>
        <w:rPr>
          <w:caps w:val="false"/>
          <w:smallCaps w:val="false"/>
        </w:rPr>
      </w:pPr>
      <w:bookmarkStart w:id="647" w:name="xdx_238_zvvpipsXauCL"/>
      <w:bookmarkEnd w:id="647"/>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Accounting for Equity Consideration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existing at December 31, 2025, the $</w:t>
      </w:r>
      <w:bookmarkStart w:id="648" w:name="xdx_906_ecustom--DeferredRevenueFromCont"/>
      <w:bookmarkEnd w:id="648"/>
      <w:r>
        <w:rPr>
          <w:rFonts w:ascii="Times New Roman;Times;Serif" w:hAnsi="Times New Roman;Times;Serif"/>
          <w:b w:val="false"/>
          <w:i w:val="false"/>
          <w:caps w:val="false"/>
          <w:smallCaps w:val="false"/>
          <w:sz w:val="20"/>
        </w:rPr>
        <w:t>100 million component of license consideration was contemplated to be settled through NeuRX equity securities. Following subsequent termination of the agreement, the Company no longer expects to receive this consideration under the terminated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equity consideration received prior to revenue recognition are recorded as contract liabilities. These balances are recognized as revenue over the service period.</w:t>
      </w:r>
    </w:p>
    <w:p>
      <w:pPr>
        <w:pStyle w:val="TextBody"/>
        <w:bidi w:val="0"/>
        <w:spacing w:before="0" w:after="0"/>
        <w:ind w:left="0" w:right="0" w:hanging="0"/>
        <w:jc w:val="left"/>
        <w:rPr>
          <w:caps w:val="false"/>
          <w:smallCaps w:val="false"/>
        </w:rPr>
      </w:pPr>
      <w:bookmarkStart w:id="649" w:name="xdx_800_eifrs-full--DisclosureOfEarnings"/>
      <w:bookmarkEnd w:id="649"/>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1700" w:type="dxa"/>
            <w:tcBorders/>
            <w:vAlign w:val="center"/>
          </w:tcPr>
          <w:p>
            <w:pPr>
              <w:pStyle w:val="TableContents"/>
              <w:bidi w:val="0"/>
              <w:spacing w:before="0" w:after="283"/>
              <w:jc w:val="left"/>
              <w:rPr>
                <w:rFonts w:ascii="Times New Roman;Times;Serif" w:hAnsi="Times New Roman;Times;Serif"/>
                <w:b/>
                <w:sz w:val="20"/>
              </w:rPr>
            </w:pPr>
            <w:bookmarkStart w:id="650" w:name="xdx_82E_zYZkpztErEMN"/>
            <w:bookmarkEnd w:id="650"/>
            <w:r>
              <w:rPr>
                <w:rFonts w:ascii="Times New Roman;Times;Serif" w:hAnsi="Times New Roman;Times;Serif"/>
                <w:b/>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was €</w:t>
      </w:r>
      <w:bookmarkStart w:id="651" w:name="xdx_901_eifrs-full--DilutedEarningsLossP"/>
      <w:bookmarkStart w:id="652" w:name="xdx_902_eifrs-full--BasicEarningsLossPer"/>
      <w:bookmarkEnd w:id="651"/>
      <w:bookmarkEnd w:id="652"/>
      <w:r>
        <w:rPr>
          <w:rFonts w:ascii="Times New Roman;Times;Serif" w:hAnsi="Times New Roman;Times;Serif"/>
          <w:b w:val="false"/>
          <w:i w:val="false"/>
          <w:caps w:val="false"/>
          <w:smallCaps w:val="false"/>
          <w:sz w:val="20"/>
        </w:rPr>
        <w:t>(0.05) and €</w:t>
      </w:r>
      <w:bookmarkStart w:id="653" w:name="xdx_903_eifrs-full--DilutedEarningsLossP"/>
      <w:bookmarkStart w:id="654" w:name="xdx_904_eifrs-full--BasicEarningsLossPer"/>
      <w:bookmarkEnd w:id="653"/>
      <w:bookmarkEnd w:id="654"/>
      <w:r>
        <w:rPr>
          <w:rFonts w:ascii="Times New Roman;Times;Serif" w:hAnsi="Times New Roman;Times;Serif"/>
          <w:b w:val="false"/>
          <w:i w:val="false"/>
          <w:caps w:val="false"/>
          <w:smallCaps w:val="false"/>
          <w:sz w:val="20"/>
        </w:rPr>
        <w:t xml:space="preserve">(0.07), as restated, for the years ended December 31, 2025 and 2024, respectively, with average shares outstanding of </w:t>
      </w:r>
      <w:bookmarkStart w:id="655" w:name="xdx_900_eifrs-full--AdjustedWeightedAver"/>
      <w:bookmarkStart w:id="656" w:name="xdx_90D_eifrs-full--WeightedAverageShare"/>
      <w:bookmarkEnd w:id="655"/>
      <w:bookmarkEnd w:id="656"/>
      <w:r>
        <w:rPr>
          <w:rFonts w:ascii="Times New Roman;Times;Serif" w:hAnsi="Times New Roman;Times;Serif"/>
          <w:b w:val="false"/>
          <w:i w:val="false"/>
          <w:caps w:val="false"/>
          <w:smallCaps w:val="false"/>
          <w:sz w:val="20"/>
        </w:rPr>
        <w:t xml:space="preserve">25,000,000 and </w:t>
      </w:r>
      <w:bookmarkStart w:id="657" w:name="xdx_90D_eifrs-full--AdjustedWeightedAver"/>
      <w:bookmarkStart w:id="658" w:name="xdx_90C_eifrs-full--WeightedAverageShare"/>
      <w:bookmarkEnd w:id="657"/>
      <w:bookmarkEnd w:id="658"/>
      <w:r>
        <w:rPr>
          <w:rFonts w:ascii="Times New Roman;Times;Serif" w:hAnsi="Times New Roman;Times;Serif"/>
          <w:b w:val="false"/>
          <w:i w:val="false"/>
          <w:caps w:val="false"/>
          <w:smallCaps w:val="false"/>
          <w:sz w:val="20"/>
        </w:rPr>
        <w:t xml:space="preserve">22,909,836, respectively for each period. There are </w:t>
      </w:r>
      <w:bookmarkStart w:id="659" w:name="xdx_908_eifrs-full--DilutiveEffectOfShar"/>
      <w:bookmarkEnd w:id="659"/>
      <w:r>
        <w:rPr>
          <w:rFonts w:ascii="Times New Roman;Times;Serif" w:hAnsi="Times New Roman;Times;Serif"/>
          <w:b w:val="false"/>
          <w:i w:val="false"/>
          <w:caps w:val="false"/>
          <w:smallCaps w:val="false"/>
          <w:sz w:val="20"/>
        </w:rPr>
        <w:t xml:space="preserve">125,000 ordinary shares that are contingently issuable upon completion of the Company’s Nasdaq listing. As the listing had not occurred as of December 31, 2025, these shares have been excluded from the calculation of basic and diluted earnings per share in accordance with IAS 33. There were </w:t>
      </w:r>
      <w:bookmarkStart w:id="660" w:name="xdx_904_eifrs-full--DilutiveEffectOfAllI"/>
      <w:bookmarkStart w:id="661" w:name="xdx_903_eifrs-full--DilutiveEffectOfAllI"/>
      <w:bookmarkEnd w:id="660"/>
      <w:bookmarkEnd w:id="661"/>
      <w:r>
        <w:rPr>
          <w:rFonts w:ascii="Times New Roman;Times;Serif" w:hAnsi="Times New Roman;Times;Serif"/>
          <w:b w:val="false"/>
          <w:i w:val="false"/>
          <w:caps w:val="false"/>
          <w:smallCaps w:val="false"/>
          <w:sz w:val="20"/>
        </w:rPr>
        <w:t>no dilutive shares outstanding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62" w:name="xdx_23D_zSDa6nHWWIMt"/>
      <w:bookmarkEnd w:id="662"/>
      <w:r>
        <w:rPr>
          <w:caps w:val="false"/>
          <w:smallCaps w:val="false"/>
        </w:rPr>
        <w:t> </w:t>
      </w:r>
    </w:p>
    <w:p>
      <w:pPr>
        <w:pStyle w:val="TextBody"/>
        <w:bidi w:val="0"/>
        <w:spacing w:before="0" w:after="0"/>
        <w:ind w:left="0" w:right="0" w:hanging="0"/>
        <w:jc w:val="left"/>
        <w:rPr>
          <w:caps w:val="false"/>
          <w:smallCaps w:val="false"/>
        </w:rPr>
      </w:pPr>
      <w:bookmarkStart w:id="663" w:name="xdx_23D_zQanHvBag4yT"/>
      <w:bookmarkEnd w:id="663"/>
      <w:r>
        <w:rPr>
          <w:caps w:val="false"/>
          <w:smallCaps w:val="false"/>
        </w:rPr>
        <w:t> </w:t>
      </w:r>
    </w:p>
    <w:p>
      <w:pPr>
        <w:pStyle w:val="TextBody"/>
        <w:bidi w:val="0"/>
        <w:spacing w:before="0" w:after="0"/>
        <w:ind w:left="0" w:right="0" w:hanging="0"/>
        <w:jc w:val="left"/>
        <w:rPr>
          <w:caps w:val="false"/>
          <w:smallCaps w:val="false"/>
        </w:rPr>
      </w:pPr>
      <w:bookmarkStart w:id="664" w:name="xdx_235_zUjrlB2KJjMm"/>
      <w:bookmarkEnd w:id="664"/>
      <w:r>
        <w:rPr>
          <w:caps w:val="false"/>
          <w:smallCaps w:val="false"/>
        </w:rPr>
        <w:t> </w:t>
      </w:r>
    </w:p>
    <w:p>
      <w:pPr>
        <w:pStyle w:val="TextBody"/>
        <w:bidi w:val="0"/>
        <w:spacing w:before="0" w:after="0"/>
        <w:ind w:left="0" w:right="0" w:hanging="0"/>
        <w:jc w:val="left"/>
        <w:rPr>
          <w:caps w:val="false"/>
          <w:smallCaps w:val="false"/>
        </w:rPr>
      </w:pPr>
      <w:bookmarkStart w:id="665" w:name="xdx_231_zAbrvc6m6B5b"/>
      <w:bookmarkEnd w:id="665"/>
      <w:r>
        <w:rPr>
          <w:caps w:val="false"/>
          <w:smallCaps w:val="false"/>
        </w:rPr>
        <w:t> </w:t>
      </w:r>
    </w:p>
    <w:p>
      <w:pPr>
        <w:pStyle w:val="TextBody"/>
        <w:bidi w:val="0"/>
        <w:spacing w:before="0" w:after="0"/>
        <w:ind w:left="0" w:right="0" w:hanging="0"/>
        <w:jc w:val="left"/>
        <w:rPr>
          <w:caps w:val="false"/>
          <w:smallCaps w:val="false"/>
        </w:rPr>
      </w:pPr>
      <w:bookmarkStart w:id="666" w:name="xdx_23F_zh17xNIwPjFk"/>
      <w:bookmarkEnd w:id="666"/>
      <w:r>
        <w:rPr>
          <w:caps w:val="false"/>
          <w:smallCaps w:val="false"/>
        </w:rPr>
        <w:t> </w:t>
      </w:r>
    </w:p>
    <w:p>
      <w:pPr>
        <w:pStyle w:val="TextBody"/>
        <w:bidi w:val="0"/>
        <w:spacing w:before="0" w:after="0"/>
        <w:ind w:left="0" w:right="0" w:hanging="0"/>
        <w:jc w:val="left"/>
        <w:rPr>
          <w:caps w:val="false"/>
          <w:smallCaps w:val="false"/>
        </w:rPr>
      </w:pPr>
      <w:bookmarkStart w:id="667" w:name="xdx_23E_zxVYazTljKT_zwREdP5JhIZo"/>
      <w:bookmarkEnd w:id="66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68" w:name="xdx_232_z5Z8ygtcOg2V"/>
      <w:bookmarkEnd w:id="66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69" w:name="xdx_23D_ziK9a2PdQt83"/>
      <w:bookmarkEnd w:id="669"/>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670" w:name="xdx_234_zKQu6A0KDBRH"/>
      <w:bookmarkEnd w:id="67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1" w:name="xdx_235_zbHDTpeLqMJQ"/>
      <w:bookmarkEnd w:id="671"/>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672" w:name="xdx_23E_zCSRuAHsXBLZ"/>
      <w:bookmarkEnd w:id="67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3" w:name="xdx_236_zJoT8ctu5gR_zfjlheN0XMMP"/>
      <w:bookmarkEnd w:id="673"/>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4" w:name="xdx_231_zUDhQuJmAAFA"/>
      <w:bookmarkEnd w:id="674"/>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675" w:name="xdx_23B_zRRBYwhzxPe5"/>
      <w:bookmarkEnd w:id="675"/>
      <w:r>
        <w:rPr>
          <w:caps w:val="false"/>
          <w:smallCaps w:val="false"/>
        </w:rPr>
        <w:t> </w:t>
      </w:r>
    </w:p>
    <w:p>
      <w:pPr>
        <w:pStyle w:val="TextBody"/>
        <w:bidi w:val="0"/>
        <w:spacing w:before="0" w:after="0"/>
        <w:ind w:left="0" w:right="0" w:hanging="0"/>
        <w:jc w:val="left"/>
        <w:rPr>
          <w:caps w:val="false"/>
          <w:smallCaps w:val="false"/>
        </w:rPr>
      </w:pPr>
      <w:bookmarkStart w:id="676" w:name="xdx_801_eifrs-full--DisclosureOfEventsAf"/>
      <w:bookmarkEnd w:id="676"/>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45"/>
        <w:gridCol w:w="159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1595" w:type="dxa"/>
            <w:tcBorders/>
            <w:vAlign w:val="center"/>
          </w:tcPr>
          <w:p>
            <w:pPr>
              <w:pStyle w:val="TableContents"/>
              <w:bidi w:val="0"/>
              <w:spacing w:before="0" w:after="283"/>
              <w:jc w:val="left"/>
              <w:rPr>
                <w:rFonts w:ascii="Times New Roman;Times;Serif" w:hAnsi="Times New Roman;Times;Serif"/>
                <w:b/>
                <w:sz w:val="20"/>
              </w:rPr>
            </w:pPr>
            <w:bookmarkStart w:id="677" w:name="xdx_824_zvIVK4nP5er2"/>
            <w:bookmarkEnd w:id="677"/>
            <w:r>
              <w:rPr>
                <w:rFonts w:ascii="Times New Roman;Times;Serif" w:hAnsi="Times New Roman;Times;Serif"/>
                <w:b/>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Davion Healthcare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2026, the Company acquired </w:t>
      </w:r>
      <w:bookmarkStart w:id="678" w:name="xdx_904_eifrs-full--PercentageOfVotingEq"/>
      <w:bookmarkEnd w:id="678"/>
      <w:r>
        <w:rPr>
          <w:rFonts w:ascii="Times New Roman;Times;Serif" w:hAnsi="Times New Roman;Times;Serif"/>
          <w:b w:val="false"/>
          <w:i w:val="false"/>
          <w:caps w:val="false"/>
          <w:smallCaps w:val="false"/>
          <w:sz w:val="20"/>
        </w:rPr>
        <w:t>100% of the outstanding equity interests of Davion Healthcare Corporation, an entity wholly owned by the Company’s Chief Executive Officer, for nominal consideration of $</w:t>
      </w:r>
      <w:bookmarkStart w:id="679" w:name="xdx_902_eifrs-full--ConsiderationPaidRec"/>
      <w:bookmarkEnd w:id="679"/>
      <w:r>
        <w:rPr>
          <w:rFonts w:ascii="Times New Roman;Times;Serif" w:hAnsi="Times New Roman;Times;Serif"/>
          <w:b w:val="false"/>
          <w:i w:val="false"/>
          <w:caps w:val="false"/>
          <w:smallCaps w:val="false"/>
          <w:sz w:val="20"/>
        </w:rPr>
        <w:t>1. Management evaluated the transaction against the definition of a business under IFRS 3, and determined that the acquired entity did not meet the definition of a business, as it did not include substantive processes capable of producing outputs. The acquired entity’s assets consisted solely of $</w:t>
      </w:r>
      <w:bookmarkStart w:id="680" w:name="xdx_902_eifrs-full--CashAndCashEquivalen"/>
      <w:bookmarkEnd w:id="680"/>
      <w:r>
        <w:rPr>
          <w:rFonts w:ascii="Times New Roman;Times;Serif" w:hAnsi="Times New Roman;Times;Serif"/>
          <w:b w:val="false"/>
          <w:i w:val="false"/>
          <w:caps w:val="false"/>
          <w:smallCaps w:val="false"/>
          <w:sz w:val="20"/>
        </w:rPr>
        <w:t>445,000 of cash and its liabilities consisted of a $</w:t>
      </w:r>
      <w:bookmarkStart w:id="681" w:name="xdx_908_eifrs-full--AmountsReceivableRel"/>
      <w:bookmarkEnd w:id="681"/>
      <w:r>
        <w:rPr>
          <w:rFonts w:ascii="Times New Roman;Times;Serif" w:hAnsi="Times New Roman;Times;Serif"/>
          <w:b w:val="false"/>
          <w:i w:val="false"/>
          <w:caps w:val="false"/>
          <w:smallCaps w:val="false"/>
          <w:sz w:val="20"/>
        </w:rPr>
        <w:t>445,000 related party advance to the CEO, payable on demand and is non-interest bearing, and therefore the nominal purchase price reflected the entity’s equity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acquired entity contained only financial assets and financial liabilities and no substantive operations, the transaction was accounted for as the acquisition of a group of assets and liabilities rather than a business. The assets acquired and liabilities assumed were recognized at their respective carrying amounts, which approximate fair value, and the related-party advance remained an obligation of the acquired entity following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 acquired entity was wholly owned by the Company’s Chief Executive Officer, management concluded the entities were not under common control, as the Chief Executive Officer does not control the Company within the meaning of IFRS 10, but instead only is able to exercise significant influence through his voting control of </w:t>
      </w:r>
      <w:bookmarkStart w:id="682" w:name="xdx_908_eifrs-full--PercentageOfVotingEq"/>
      <w:bookmarkEnd w:id="682"/>
      <w:r>
        <w:rPr>
          <w:rFonts w:ascii="Times New Roman;Times;Serif" w:hAnsi="Times New Roman;Times;Serif"/>
          <w:b w:val="false"/>
          <w:i w:val="false"/>
          <w:caps w:val="false"/>
          <w:smallCaps w:val="false"/>
          <w:sz w:val="20"/>
        </w:rPr>
        <w:t>41% of the ordinary shares of Davion. The transaction therefore represents a related-party transaction under IAS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advisory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2026, the Company entered into a financial advisory agreement that requires a </w:t>
      </w:r>
      <w:bookmarkStart w:id="683" w:name="xdx_902_eifrs-full--PercentageOfVotingEq"/>
      <w:bookmarkEnd w:id="683"/>
      <w:r>
        <w:rPr>
          <w:rFonts w:ascii="Times New Roman;Times;Serif" w:hAnsi="Times New Roman;Times;Serif"/>
          <w:b w:val="false"/>
          <w:i w:val="false"/>
          <w:caps w:val="false"/>
          <w:smallCaps w:val="false"/>
          <w:sz w:val="20"/>
        </w:rPr>
        <w:t xml:space="preserve">6% fee on future capital raising transactions and the issuance of </w:t>
      </w:r>
      <w:bookmarkStart w:id="684" w:name="xdx_90D_eifrs-full--NumberOfSharesIssued"/>
      <w:bookmarkEnd w:id="684"/>
      <w:r>
        <w:rPr>
          <w:rFonts w:ascii="Times New Roman;Times;Serif" w:hAnsi="Times New Roman;Times;Serif"/>
          <w:b w:val="false"/>
          <w:i w:val="false"/>
          <w:caps w:val="false"/>
          <w:smallCaps w:val="false"/>
          <w:sz w:val="20"/>
        </w:rPr>
        <w:t xml:space="preserve">100,000 ordinary shares upon the Company being listing on any major U.S. exchange. </w:t>
      </w:r>
      <w:bookmarkStart w:id="685" w:name="xdx_907_eifrs-full--DescriptionOfAnyReti"/>
      <w:bookmarkEnd w:id="685"/>
      <w:r>
        <w:rPr>
          <w:rFonts w:ascii="Times New Roman;Times;Serif" w:hAnsi="Times New Roman;Times;Serif"/>
          <w:b w:val="false"/>
          <w:i w:val="false"/>
          <w:caps w:val="false"/>
          <w:smallCaps w:val="false"/>
          <w:sz w:val="20"/>
        </w:rPr>
        <w:t>The agreement has a minimum term of 120 days plus a 12 month tail on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Secured Convertible note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2026, the Company received $</w:t>
      </w:r>
      <w:bookmarkStart w:id="686" w:name="xdx_90D_eifrs-full--LoansReceived_iI_uUS"/>
      <w:bookmarkEnd w:id="686"/>
      <w:r>
        <w:rPr>
          <w:rFonts w:ascii="Times New Roman;Times;Serif" w:hAnsi="Times New Roman;Times;Serif"/>
          <w:b w:val="false"/>
          <w:i w:val="false"/>
          <w:caps w:val="false"/>
          <w:smallCaps w:val="false"/>
          <w:sz w:val="20"/>
        </w:rPr>
        <w:t>1,500,000 of cash related to the issuance of a $</w:t>
      </w:r>
      <w:bookmarkStart w:id="687" w:name="xdx_90D_eifrs-full--SecuredBankLoansRece"/>
      <w:bookmarkEnd w:id="687"/>
      <w:r>
        <w:rPr>
          <w:rFonts w:ascii="Times New Roman;Times;Serif" w:hAnsi="Times New Roman;Times;Serif"/>
          <w:b w:val="false"/>
          <w:i w:val="false"/>
          <w:caps w:val="false"/>
          <w:smallCaps w:val="false"/>
          <w:sz w:val="20"/>
        </w:rPr>
        <w:t xml:space="preserve">1,655,000 secured promissory note (“the Note”) that matures six months from the date of issuance, at a </w:t>
      </w:r>
      <w:bookmarkStart w:id="688" w:name="xdx_908_ecustom--DebtInstrumentInterestR"/>
      <w:bookmarkEnd w:id="688"/>
      <w:r>
        <w:rPr>
          <w:rFonts w:ascii="Times New Roman;Times;Serif" w:hAnsi="Times New Roman;Times;Serif"/>
          <w:b w:val="false"/>
          <w:i w:val="false"/>
          <w:caps w:val="false"/>
          <w:smallCaps w:val="false"/>
          <w:sz w:val="20"/>
        </w:rPr>
        <w:t xml:space="preserve">9% interest rate. The Company has three options to extend the maturity date through June 2027 for an additional fee. The Note is convertible into ordinary shares at a fixed price of $12.36 per share at the holder’s option anytime. The Note may be prepaid at a premium of 115% of the outstanding balance subject to Company not being in default. The Company is required to paydown the Note with 20% of any fundraising proceeds up to the maximum amount outstanding. The Note is secured by a security interest in certain intellectual property. Additionally, the investor received </w:t>
      </w:r>
      <w:bookmarkStart w:id="689" w:name="xdx_90A_ecustom--ShareWarrants_iI_c20260"/>
      <w:bookmarkEnd w:id="689"/>
      <w:r>
        <w:rPr>
          <w:rFonts w:ascii="Times New Roman;Times;Serif" w:hAnsi="Times New Roman;Times;Serif"/>
          <w:b w:val="false"/>
          <w:i w:val="false"/>
          <w:caps w:val="false"/>
          <w:smallCaps w:val="false"/>
          <w:sz w:val="20"/>
        </w:rPr>
        <w:t>200,000 warrants subject to the following conditions: i) a term of 12 months from the effective date of the Company’s listing on Nasdaq, ii) at an exercise price of $13.00 and iii) exercisable for cash only. The Company is required to register ordinary shares sufficient to cover the full conversion of the Note at the fixed price plus the shares underlying the warrants or approximately 139,925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Company entered into an irrevocable committed term loan facility of up to $2.0 million for a one year period from the date of the Company being listed on Nasdaq (“the availability period”). During the availability period, at the Company’s discretion, it can make draws at a minimum of $250,000 tranches and repay such draws within 15 months, at a rate of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Establishment of United Kingdom subsidiaries and proposed financing programme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established Davion Healthcare Ltd (UK) as a wholly owned subsidiary in the United Kingdom. Davion Healthcare Ltd (UK) subsequently established Davion Healthcare Finance Ltd as its wholly owned subsidiary for the purpose of supporting the Group's acquisition financing strategy. Davion Healthcare Finance Ltd is intended to act as issuer in connection with a proposed institutional corporate bond programme. As of the date these financial statements were authorised for issue, the bond programme had not commenced, no bonds had been issued and no proceeds had been raised.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90" w:name="xdx_231_zwsVP2X73Vze"/>
      <w:bookmarkEnd w:id="690"/>
      <w:r>
        <w:rPr>
          <w:caps w:val="false"/>
          <w:smallCaps w:val="false"/>
        </w:rPr>
        <w:t> </w:t>
      </w:r>
    </w:p>
    <w:p>
      <w:pPr>
        <w:pStyle w:val="TextBody"/>
        <w:bidi w:val="0"/>
        <w:spacing w:before="0" w:after="0"/>
        <w:ind w:left="0" w:right="0" w:hanging="0"/>
        <w:jc w:val="left"/>
        <w:rPr>
          <w:caps w:val="false"/>
          <w:smallCaps w:val="false"/>
        </w:rPr>
      </w:pPr>
      <w:bookmarkStart w:id="691" w:name="xdx_234_zzuIIBaHbdTa"/>
      <w:bookmarkEnd w:id="69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92" w:name="xdx_235_z9aqp6wHSrqp"/>
      <w:bookmarkEnd w:id="69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3" w:name="xdx_233_ziDW0XQAMJfn"/>
      <w:bookmarkEnd w:id="693"/>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694" w:name="xdx_233_z2bDvaTV3VV4"/>
      <w:bookmarkEnd w:id="694"/>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5" w:name="xdx_23C_zXoUz8MWJa2W"/>
      <w:bookmarkEnd w:id="695"/>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696" w:name="xdx_230_z9A4QSDrI13_zFmAuOyak3fz"/>
      <w:bookmarkEnd w:id="69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7" w:name="xdx_23A_z1qiuWbUnCvo"/>
      <w:bookmarkEnd w:id="697"/>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8" w:name="xdx_23A_zUe6kAjRXKWB"/>
      <w:bookmarkEnd w:id="698"/>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left"/>
        <w:rPr>
          <w:caps w:val="false"/>
          <w:smallCaps w:val="false"/>
        </w:rPr>
      </w:pPr>
      <w:bookmarkStart w:id="699" w:name="xdx_80B_eifrs-full--DisclosureOfCommitme"/>
      <w:bookmarkEnd w:id="699"/>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45"/>
        <w:gridCol w:w="261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2615" w:type="dxa"/>
            <w:tcBorders/>
            <w:vAlign w:val="center"/>
          </w:tcPr>
          <w:p>
            <w:pPr>
              <w:pStyle w:val="TableContents"/>
              <w:bidi w:val="0"/>
              <w:spacing w:before="0" w:after="283"/>
              <w:jc w:val="left"/>
              <w:rPr>
                <w:rFonts w:ascii="Times New Roman;Times;Serif" w:hAnsi="Times New Roman;Times;Serif"/>
                <w:b/>
                <w:sz w:val="20"/>
              </w:rPr>
            </w:pPr>
            <w:bookmarkStart w:id="700" w:name="xdx_82F_zmN3Df7awieK"/>
            <w:bookmarkEnd w:id="700"/>
            <w:r>
              <w:rPr>
                <w:rFonts w:ascii="Times New Roman;Times;Serif" w:hAnsi="Times New Roman;Times;Serif"/>
                <w:b/>
                <w:sz w:val="20"/>
              </w:rPr>
              <w:t>Commitments &amp;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Infrastructure, software license and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developed and maintains a secure test portal and customer database intended to support the commercialization and use of its products. The portal may be used in connection with products manufactured or distributed directly by the Company or members of the Davion group and may also be made available to third-party manufacturers, licensees or distributors where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an infrastructure, software and services agreement relating to development and operation of the test portal to support the commercialization of BreastCheck for $</w:t>
      </w:r>
      <w:bookmarkStart w:id="701" w:name="xdx_90F_eifrs-full--LicenceFeeIncome_pn5"/>
      <w:bookmarkEnd w:id="701"/>
      <w:r>
        <w:rPr>
          <w:rFonts w:ascii="Times New Roman;Times;Serif" w:hAnsi="Times New Roman;Times;Serif"/>
          <w:b w:val="false"/>
          <w:i w:val="false"/>
          <w:caps w:val="false"/>
          <w:smallCaps w:val="false"/>
          <w:sz w:val="20"/>
        </w:rPr>
        <w:t>0.7 million, subject to annual renewals. Service fees after August 2026 will depend upon the nature and extent of services required to support the Company's ongoing commercialization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 listing advisory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Company being listed on Nasdaq it is obligated to pay its direct listing advisor certain fees, including </w:t>
      </w:r>
      <w:bookmarkStart w:id="702" w:name="xdx_909_ecustom--NumbersOfSharesIssued_i"/>
      <w:bookmarkEnd w:id="702"/>
      <w:r>
        <w:rPr>
          <w:rFonts w:ascii="Times New Roman;Times;Serif" w:hAnsi="Times New Roman;Times;Serif"/>
          <w:b w:val="false"/>
          <w:i w:val="false"/>
          <w:caps w:val="false"/>
          <w:smallCaps w:val="false"/>
          <w:sz w:val="20"/>
        </w:rPr>
        <w:t>125,000 ordinary shares at ~$</w:t>
      </w:r>
      <w:bookmarkStart w:id="703" w:name="xdx_90A_eifrs-full--ParValuePerShare_iI_"/>
      <w:bookmarkEnd w:id="703"/>
      <w:r>
        <w:rPr>
          <w:rFonts w:ascii="Times New Roman;Times;Serif" w:hAnsi="Times New Roman;Times;Serif"/>
          <w:b w:val="false"/>
          <w:i w:val="false"/>
          <w:caps w:val="false"/>
          <w:smallCaps w:val="false"/>
          <w:sz w:val="20"/>
        </w:rPr>
        <w:t>12 per share (estimated listing price) and cash fees of $</w:t>
      </w:r>
      <w:bookmarkStart w:id="704" w:name="xdx_905_eifrs-full--CashEquivalents_iI_u"/>
      <w:bookmarkEnd w:id="704"/>
      <w:r>
        <w:rPr>
          <w:rFonts w:ascii="Times New Roman;Times;Serif" w:hAnsi="Times New Roman;Times;Serif"/>
          <w:b w:val="false"/>
          <w:i w:val="false"/>
          <w:caps w:val="false"/>
          <w:smallCaps w:val="false"/>
          <w:sz w:val="20"/>
        </w:rPr>
        <w:t>200,000 plus up to $</w:t>
      </w:r>
      <w:bookmarkStart w:id="705" w:name="xdx_900_eifrs-full--ExpenseByNature_uUSD"/>
      <w:bookmarkEnd w:id="705"/>
      <w:r>
        <w:rPr>
          <w:rFonts w:ascii="Times New Roman;Times;Serif" w:hAnsi="Times New Roman;Times;Serif"/>
          <w:b w:val="false"/>
          <w:i w:val="false"/>
          <w:caps w:val="false"/>
          <w:smallCaps w:val="false"/>
          <w:sz w:val="20"/>
        </w:rPr>
        <w:t>100,000 of reimbursable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06" w:name="xdx_800_eifrs-full--DisclosureOfRelatedP"/>
      <w:bookmarkEnd w:id="706"/>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45"/>
        <w:gridCol w:w="227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2270" w:type="dxa"/>
            <w:tcBorders/>
            <w:vAlign w:val="center"/>
          </w:tcPr>
          <w:p>
            <w:pPr>
              <w:pStyle w:val="TableContents"/>
              <w:bidi w:val="0"/>
              <w:spacing w:before="0" w:after="283"/>
              <w:jc w:val="left"/>
              <w:rPr>
                <w:rFonts w:ascii="Times New Roman;Times;Serif" w:hAnsi="Times New Roman;Times;Serif"/>
                <w:b/>
                <w:sz w:val="20"/>
              </w:rPr>
            </w:pPr>
            <w:bookmarkStart w:id="707" w:name="xdx_824_zZsl2fftCzFZ"/>
            <w:bookmarkEnd w:id="707"/>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Advances from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single largest shareholder, Jack Kaye our CEO, holds </w:t>
      </w:r>
      <w:bookmarkStart w:id="708" w:name="xdx_906_eifrs-full--PercentageOfVotingEq"/>
      <w:bookmarkEnd w:id="708"/>
      <w:r>
        <w:rPr>
          <w:rFonts w:ascii="Times New Roman;Times;Serif" w:hAnsi="Times New Roman;Times;Serif"/>
          <w:b w:val="false"/>
          <w:i w:val="false"/>
          <w:caps w:val="false"/>
          <w:smallCaps w:val="false"/>
          <w:sz w:val="20"/>
        </w:rPr>
        <w:t>41% of the ordinary shares of Company and is the sole provider of operational funding. At December 31, 2025, and 2024, Mr. Kaye was owed advances of €</w:t>
      </w:r>
      <w:bookmarkStart w:id="709" w:name="xdx_90A_eifrs-full--AmountsReceivableRel"/>
      <w:bookmarkEnd w:id="709"/>
      <w:r>
        <w:rPr>
          <w:rFonts w:ascii="Times New Roman;Times;Serif" w:hAnsi="Times New Roman;Times;Serif"/>
          <w:b w:val="false"/>
          <w:i w:val="false"/>
          <w:caps w:val="false"/>
          <w:smallCaps w:val="false"/>
          <w:sz w:val="20"/>
        </w:rPr>
        <w:t>907,671 and €</w:t>
      </w:r>
      <w:bookmarkStart w:id="710" w:name="xdx_901_eifrs-full--AmountsReceivableRel"/>
      <w:bookmarkEnd w:id="710"/>
      <w:r>
        <w:rPr>
          <w:rFonts w:ascii="Times New Roman;Times;Serif" w:hAnsi="Times New Roman;Times;Serif"/>
          <w:b w:val="false"/>
          <w:i w:val="false"/>
          <w:caps w:val="false"/>
          <w:smallCaps w:val="false"/>
          <w:sz w:val="20"/>
        </w:rPr>
        <w:t xml:space="preserve">30,804, respectively, through companies that he controls, including Malbrite Limited, Rallinson Corporation and Davion Healthcare Corporation. The balance owed at December 31, 2024 is classified in Trade and other payables on the consolidated balance sheet. Mr. Kaye has pledged his financial support that is necessary for </w:t>
      </w:r>
      <w:bookmarkStart w:id="711" w:name="xdx_906_ecustom--RelatedPartyAdvance_dtM"/>
      <w:bookmarkEnd w:id="711"/>
      <w:r>
        <w:rPr>
          <w:rFonts w:ascii="Times New Roman;Times;Serif" w:hAnsi="Times New Roman;Times;Serif"/>
          <w:b w:val="false"/>
          <w:i w:val="false"/>
          <w:caps w:val="false"/>
          <w:smallCaps w:val="false"/>
          <w:sz w:val="20"/>
        </w:rPr>
        <w:t>12 months from the date of issuance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2024, advances to the Company by Jack Kaye amounting to €</w:t>
      </w:r>
      <w:bookmarkStart w:id="712" w:name="xdx_906_eifrs-full--AmountsPayableRelate"/>
      <w:bookmarkEnd w:id="712"/>
      <w:r>
        <w:rPr>
          <w:rFonts w:ascii="Times New Roman;Times;Serif" w:hAnsi="Times New Roman;Times;Serif"/>
          <w:b w:val="false"/>
          <w:i w:val="false"/>
          <w:caps w:val="false"/>
          <w:smallCaps w:val="false"/>
          <w:sz w:val="20"/>
        </w:rPr>
        <w:t>4.6 million and €</w:t>
      </w:r>
      <w:bookmarkStart w:id="713" w:name="xdx_905_eifrs-full--AmountsPayableRelate"/>
      <w:bookmarkEnd w:id="713"/>
      <w:r>
        <w:rPr>
          <w:rFonts w:ascii="Times New Roman;Times;Serif" w:hAnsi="Times New Roman;Times;Serif"/>
          <w:b w:val="false"/>
          <w:i w:val="false"/>
          <w:caps w:val="false"/>
          <w:smallCaps w:val="false"/>
          <w:sz w:val="20"/>
        </w:rPr>
        <w:t xml:space="preserve">1.0 million in fees due David Paul Alexander Over, a director of Davion Healthcare Plc, were converted into </w:t>
      </w:r>
      <w:bookmarkStart w:id="714" w:name="xdx_902_ecustom--ConvertedShares_iI_c202"/>
      <w:bookmarkEnd w:id="714"/>
      <w:r>
        <w:rPr>
          <w:rFonts w:ascii="Times New Roman;Times;Serif" w:hAnsi="Times New Roman;Times;Serif"/>
          <w:b w:val="false"/>
          <w:i w:val="false"/>
          <w:caps w:val="false"/>
          <w:smallCaps w:val="false"/>
          <w:sz w:val="20"/>
        </w:rPr>
        <w:t>598,246 shares at a conversion rate equivalent to one ordinary share for every $</w:t>
      </w:r>
      <w:bookmarkStart w:id="715" w:name="xdx_900_eifrs-full--ShareIssueRelatedCos"/>
      <w:bookmarkEnd w:id="715"/>
      <w:r>
        <w:rPr>
          <w:rFonts w:ascii="Times New Roman;Times;Serif" w:hAnsi="Times New Roman;Times;Serif"/>
          <w:b w:val="false"/>
          <w:i w:val="false"/>
          <w:caps w:val="false"/>
          <w:smallCaps w:val="false"/>
          <w:sz w:val="20"/>
        </w:rPr>
        <w:t>10 (Euro conversion equivalent to) 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16" w:name="xdx_23B_z0mJKpgeBsRh"/>
      <w:bookmarkEnd w:id="716"/>
      <w:r>
        <w:rPr>
          <w:caps w:val="false"/>
          <w:smallCaps w:val="false"/>
        </w:rPr>
        <w:t> </w:t>
      </w:r>
    </w:p>
    <w:p>
      <w:pPr>
        <w:pStyle w:val="TextBody"/>
        <w:bidi w:val="0"/>
        <w:spacing w:before="0" w:after="0"/>
        <w:ind w:left="0" w:right="0" w:hanging="0"/>
        <w:jc w:val="both"/>
        <w:rPr>
          <w:caps w:val="false"/>
          <w:smallCaps w:val="false"/>
        </w:rPr>
      </w:pPr>
      <w:bookmarkStart w:id="717" w:name="xdx_236_z7zfA31WcL0p"/>
      <w:bookmarkEnd w:id="717"/>
      <w:r>
        <w:rPr>
          <w:caps w:val="false"/>
          <w:smallCaps w:val="false"/>
        </w:rPr>
        <w:t> </w:t>
      </w:r>
    </w:p>
    <w:p>
      <w:pPr>
        <w:pStyle w:val="TextBody"/>
        <w:bidi w:val="0"/>
        <w:spacing w:before="0" w:after="0"/>
        <w:ind w:left="0" w:right="0" w:hanging="0"/>
        <w:jc w:val="both"/>
        <w:rPr>
          <w:caps w:val="false"/>
          <w:smallCaps w:val="false"/>
        </w:rPr>
      </w:pPr>
      <w:bookmarkStart w:id="718" w:name="xdx_23C_zI8Pt5LROUYO"/>
      <w:bookmarkEnd w:id="71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719" w:name="xdx_23B_zGr3NEH1r17S"/>
      <w:bookmarkEnd w:id="71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0" w:name="xdx_236_zS4Ahfck5pzj"/>
      <w:bookmarkEnd w:id="720"/>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721" w:name="xdx_23B_zYAxGzzFz2XE"/>
      <w:bookmarkEnd w:id="72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2" w:name="xdx_237_z8dDJuIZKzyz"/>
      <w:bookmarkEnd w:id="722"/>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723" w:name="xdx_236_z8V4pIsV5XdL"/>
      <w:bookmarkEnd w:id="723"/>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4" w:name="xdx_231_znppzpoW2Du0"/>
      <w:bookmarkEnd w:id="724"/>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25" w:name="xdx_232_zKCfTgcthvuC"/>
      <w:bookmarkEnd w:id="725"/>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726" w:name="xdx_23A_z3blQxpw3qvn"/>
      <w:bookmarkEnd w:id="726"/>
      <w:r>
        <w:rPr>
          <w:caps w:val="false"/>
          <w:smallCaps w:val="false"/>
        </w:rPr>
        <w:t> </w:t>
      </w:r>
    </w:p>
    <w:p>
      <w:pPr>
        <w:pStyle w:val="TextBody"/>
        <w:bidi w:val="0"/>
        <w:spacing w:before="0" w:after="0"/>
        <w:ind w:left="0" w:right="0" w:hanging="0"/>
        <w:jc w:val="both"/>
        <w:rPr>
          <w:caps w:val="false"/>
          <w:smallCaps w:val="false"/>
        </w:rPr>
      </w:pPr>
      <w:bookmarkStart w:id="727" w:name="xdx_23D_zmWE0Lup0oGO"/>
      <w:bookmarkEnd w:id="727"/>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Remuneration of key management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2025, the Chief Executive Officer, Jack Kaye and the Chief Commercial Officer, David Paul Alexander (“the Executive Directors”), entered into service agreements with the Company in exchange for annual renumeration of €</w:t>
      </w:r>
      <w:bookmarkStart w:id="728" w:name="xdx_909_eifrs-full--EstimateOfContributi"/>
      <w:bookmarkEnd w:id="728"/>
      <w:r>
        <w:rPr>
          <w:rFonts w:ascii="Times New Roman;Times;Serif" w:hAnsi="Times New Roman;Times;Serif"/>
          <w:b w:val="false"/>
          <w:i w:val="false"/>
          <w:caps w:val="false"/>
          <w:smallCaps w:val="false"/>
          <w:sz w:val="20"/>
        </w:rPr>
        <w:t>1,800,000 and €</w:t>
      </w:r>
      <w:bookmarkStart w:id="729" w:name="xdx_905_eifrs-full--EstimateOfContributi"/>
      <w:bookmarkEnd w:id="729"/>
      <w:r>
        <w:rPr>
          <w:rFonts w:ascii="Times New Roman;Times;Serif" w:hAnsi="Times New Roman;Times;Serif"/>
          <w:b w:val="false"/>
          <w:i w:val="false"/>
          <w:caps w:val="false"/>
          <w:smallCaps w:val="false"/>
          <w:sz w:val="20"/>
        </w:rPr>
        <w:t>1,200,000, respectively including other executive level benefits. In March of 2025, the Executive Directors agreed to freeze their service contracts without any accrual being credited, until such time the Company is listed on a public exchange. In January 2026, these service agreements were cancelled with no fees owing through December 31, 2025. New service agreements will be put in place once the Company is listed on Nasdaq. The parties have agreed that new Service Agreements shall be established immediately prior to, or within fourteen days following, the listing of the Company’s securities on a regulated stock exchange. Such new agreement shall: reflect the current operational and financial position of the Company as a pre-revenue entity; and provide for compensation, benefits, and incentive arrangements commensurate with those typically applicable to executives of comparable small-capitalisation publicly listed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Andreas Ttofi, was appointed as the Company’s Chief Financial Officer and an Executive Director on the Board. Mr. Ttofi’s service agreement provides for a monthly salary of €</w:t>
      </w:r>
      <w:bookmarkStart w:id="730" w:name="xdx_907_eifrs-full--WagesAndSalaries_uEU"/>
      <w:bookmarkEnd w:id="730"/>
      <w:r>
        <w:rPr>
          <w:rFonts w:ascii="Times New Roman;Times;Serif" w:hAnsi="Times New Roman;Times;Serif"/>
          <w:b w:val="false"/>
          <w:i w:val="false"/>
          <w:caps w:val="false"/>
          <w:smallCaps w:val="false"/>
          <w:sz w:val="20"/>
        </w:rPr>
        <w:t>10,000 plus other benefits, which will begin to accrue upon the Company being listed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added four additional independent directors and in December added one additional independent director to the Board of Directors. The independent directors have agreed to have their compensation frozen without any accrual being credited in 2025 and until such time that the Company is listed on a public exchange, at which time their renumeration will commence.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incurred €</w:t>
      </w:r>
      <w:bookmarkStart w:id="731" w:name="xdx_90B_eifrs-full--ProfessionalFeesExpe"/>
      <w:bookmarkEnd w:id="731"/>
      <w:r>
        <w:rPr>
          <w:rFonts w:ascii="Times New Roman;Times;Serif" w:hAnsi="Times New Roman;Times;Serif"/>
          <w:b w:val="false"/>
          <w:i w:val="false"/>
          <w:caps w:val="false"/>
          <w:smallCaps w:val="false"/>
          <w:sz w:val="20"/>
        </w:rPr>
        <w:t>400,000 with regards to director fees by David Paul Alexander Over, a director of Davion Healthcare Plc. and €</w:t>
      </w:r>
      <w:bookmarkStart w:id="732" w:name="xdx_90A_eifrs-full--ProfessionalFeesExpe"/>
      <w:bookmarkEnd w:id="732"/>
      <w:r>
        <w:rPr>
          <w:rFonts w:ascii="Times New Roman;Times;Serif" w:hAnsi="Times New Roman;Times;Serif"/>
          <w:b w:val="false"/>
          <w:i w:val="false"/>
          <w:caps w:val="false"/>
          <w:smallCaps w:val="false"/>
          <w:sz w:val="20"/>
        </w:rPr>
        <w:t>600,000 with regards to service fees by Jack Kaye, a director of Davion Healthcare Plc.</w:t>
      </w:r>
    </w:p>
    <w:p>
      <w:pPr>
        <w:pStyle w:val="TextBody"/>
        <w:bidi w:val="0"/>
        <w:spacing w:before="0" w:after="0"/>
        <w:ind w:left="0" w:right="0" w:hanging="0"/>
        <w:jc w:val="both"/>
        <w:rPr>
          <w:caps w:val="false"/>
          <w:smallCaps w:val="false"/>
        </w:rPr>
      </w:pPr>
      <w:bookmarkStart w:id="733" w:name="xdx_80D_eifrs-full--DisclosureOfReclassi"/>
      <w:bookmarkEnd w:id="733"/>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45"/>
        <w:gridCol w:w="4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734" w:name="xdx_829_zXH7JeXUowSn"/>
            <w:bookmarkEnd w:id="734"/>
            <w:r>
              <w:rPr>
                <w:rFonts w:ascii="Times New Roman;Times;Serif" w:hAnsi="Times New Roman;Times;Serif"/>
                <w:b/>
                <w:i w:val="false"/>
                <w:caps w:val="false"/>
                <w:smallCaps w:val="false"/>
                <w:sz w:val="20"/>
              </w:rPr>
              <w:t>Revision of historical accounting treatment – as restated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preparation of the consolidated financial statements for the year ended 31 December 2025, management identified an error in the historical accounting treatment applied to certain intellectual property assets.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2023 transfer of certain intellectual property assets had previously been accounted for in a manner that was not consistent with the company's accounting policies and the requirements of the applicable financial reporting framework. Upon completion of a detailed review, management concluded that the carrying amounts of the affected assets and the related expense recognition in prior periods had been misstated. Accordingly, the Company has corrected the error by retrospectively restating the previously issued financial information for the years ended 31 December 2023 and 31 December 2024, together with the opening balances as at 1 January 2025. The correction resulted in adjustments to intangible assets, accumulated amortization, share premium, deficit, operating loss and other related financial statement captions.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correction of the prior period error had no impact on the Company's revenues, cash flows, cash balances or operating activities for any period presented.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the effect of the restatement on the Company's previously reported consolidated statements of financial position, profit or loss and other comprehensive income, consolidated statements of changes in equity and cash flows for the periods presented.</w:t>
      </w:r>
    </w:p>
    <w:p>
      <w:pPr>
        <w:pStyle w:val="TextBody"/>
        <w:bidi w:val="0"/>
        <w:jc w:val="both"/>
        <w:rPr>
          <w:caps w:val="false"/>
          <w:smallCaps w:val="false"/>
        </w:rPr>
      </w:pPr>
      <w:bookmarkStart w:id="735" w:name="xdx_237_zQGzgb2gy3ua"/>
      <w:bookmarkEnd w:id="735"/>
      <w:r>
        <w:rPr>
          <w:caps w:val="false"/>
          <w:smallCaps w:val="false"/>
        </w:rPr>
        <w:t> </w:t>
      </w:r>
    </w:p>
    <w:p>
      <w:pPr>
        <w:pStyle w:val="TextBody"/>
        <w:bidi w:val="0"/>
        <w:jc w:val="both"/>
        <w:rPr>
          <w:caps w:val="false"/>
          <w:smallCaps w:val="false"/>
        </w:rPr>
      </w:pPr>
      <w:bookmarkStart w:id="736" w:name="xdx_23C_z2k1pIzPGsy4"/>
      <w:bookmarkEnd w:id="736"/>
      <w:r>
        <w:rPr>
          <w:caps w:val="false"/>
          <w:smallCaps w:val="false"/>
        </w:rPr>
        <w:t> </w:t>
      </w:r>
    </w:p>
    <w:p>
      <w:pPr>
        <w:pStyle w:val="TextBody"/>
        <w:bidi w:val="0"/>
        <w:jc w:val="both"/>
        <w:rPr>
          <w:caps w:val="false"/>
          <w:smallCaps w:val="false"/>
        </w:rPr>
      </w:pPr>
      <w:bookmarkStart w:id="737" w:name="xdx_231_zes92Kmv1USS"/>
      <w:bookmarkEnd w:id="73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38" w:name="xdx_236_zynoEKDjSMSw"/>
      <w:bookmarkEnd w:id="738"/>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739" w:name="xdx_23B_zaVxkoTHoJUN"/>
      <w:bookmarkEnd w:id="73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0" w:name="xdx_237_zAarz9bkwDiI"/>
      <w:bookmarkEnd w:id="740"/>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741" w:name="xdx_236_zbv5R4j61O95"/>
      <w:bookmarkEnd w:id="74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2" w:name="xdx_231_zp582i2EnKAw"/>
      <w:bookmarkEnd w:id="742"/>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3" w:name="xdx_232_zROKJ7sf8PQg"/>
      <w:bookmarkEnd w:id="743"/>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744" w:name="xdx_23A_zWMyro12YsVN"/>
      <w:bookmarkEnd w:id="744"/>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745" w:name="xdx_8B8_zSu5QYxPujRc"/>
      <w:bookmarkStart w:id="746" w:name="xdx_89C_eus-gaap--ScheduleOfErrorCorrect"/>
      <w:bookmarkEnd w:id="745"/>
      <w:bookmarkEnd w:id="746"/>
      <w:r>
        <w:rPr>
          <w:rFonts w:ascii="Times New Roman;Times;Serif" w:hAnsi="Times New Roman;Times;Serif"/>
          <w:b/>
          <w:i/>
          <w:caps w:val="false"/>
          <w:smallCaps w:val="false"/>
          <w:sz w:val="20"/>
        </w:rPr>
        <w:t>Effect on Statement of Financial Position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2023</w:t>
      </w:r>
    </w:p>
    <w:p>
      <w:pPr>
        <w:pStyle w:val="TextBody"/>
        <w:bidi w:val="0"/>
        <w:spacing w:before="0" w:after="283"/>
        <w:jc w:val="left"/>
        <w:rPr/>
      </w:pPr>
      <w:r>
        <w:rPr/>
        <w:t> </w:t>
      </w:r>
    </w:p>
    <w:tbl>
      <w:tblPr>
        <w:tblW w:w="6914" w:type="dxa"/>
        <w:jc w:val="left"/>
        <w:tblInd w:w="0" w:type="dxa"/>
        <w:tblLayout w:type="fixed"/>
        <w:tblCellMar>
          <w:top w:w="0" w:type="dxa"/>
          <w:left w:w="0" w:type="dxa"/>
          <w:bottom w:w="0" w:type="dxa"/>
          <w:right w:w="0" w:type="dxa"/>
        </w:tblCellMar>
      </w:tblPr>
      <w:tblGrid>
        <w:gridCol w:w="1580"/>
        <w:gridCol w:w="60"/>
        <w:gridCol w:w="264"/>
        <w:gridCol w:w="2080"/>
        <w:gridCol w:w="95"/>
        <w:gridCol w:w="60"/>
        <w:gridCol w:w="140"/>
        <w:gridCol w:w="1175"/>
        <w:gridCol w:w="95"/>
        <w:gridCol w:w="60"/>
        <w:gridCol w:w="140"/>
        <w:gridCol w:w="1055"/>
        <w:gridCol w:w="11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bookmarkStart w:id="747" w:name="xdx_987_eifrs-full--IntangibleAssetsOthe"/>
            <w:bookmarkEnd w:id="747"/>
          </w:p>
        </w:tc>
        <w:tc>
          <w:tcPr>
            <w:tcW w:w="2080" w:type="dxa"/>
            <w:tcBorders/>
            <w:shd w:fill="CCEEFF" w:val="clear"/>
            <w:vAlign w:val="center"/>
          </w:tcPr>
          <w:p>
            <w:pPr>
              <w:pStyle w:val="TableContents"/>
              <w:bidi w:val="0"/>
              <w:spacing w:before="0" w:after="283"/>
              <w:jc w:val="right"/>
              <w:rPr/>
            </w:pPr>
            <w:r>
              <w:rPr/>
              <w:t>65,000,000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48" w:name="xdx_980_eifrs-full--IntangibleAssetsOthe"/>
            <w:bookmarkEnd w:id="748"/>
          </w:p>
        </w:tc>
        <w:tc>
          <w:tcPr>
            <w:tcW w:w="1175" w:type="dxa"/>
            <w:tcBorders/>
            <w:shd w:fill="CCEEFF" w:val="clear"/>
            <w:vAlign w:val="center"/>
          </w:tcPr>
          <w:p>
            <w:pPr>
              <w:pStyle w:val="TableContents"/>
              <w:bidi w:val="0"/>
              <w:spacing w:before="0" w:after="283"/>
              <w:jc w:val="right"/>
              <w:rPr/>
            </w:pPr>
            <w:r>
              <w:rPr/>
              <w:t>(62,205,721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49" w:name="xdx_98D_eifrs-full--IntangibleAssetsOthe"/>
            <w:bookmarkEnd w:id="749"/>
          </w:p>
        </w:tc>
        <w:tc>
          <w:tcPr>
            <w:tcW w:w="1055" w:type="dxa"/>
            <w:tcBorders/>
            <w:shd w:fill="CCEEFF" w:val="clear"/>
            <w:vAlign w:val="center"/>
          </w:tcPr>
          <w:p>
            <w:pPr>
              <w:pStyle w:val="TableContents"/>
              <w:bidi w:val="0"/>
              <w:spacing w:before="0" w:after="283"/>
              <w:jc w:val="right"/>
              <w:rPr/>
            </w:pPr>
            <w:r>
              <w:rPr/>
              <w:t>2,794,279</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w:t>
            </w:r>
            <w:bookmarkStart w:id="750" w:name="xdx_98F_eifrs-full--SharePremium_iI_c202"/>
            <w:bookmarkEnd w:id="750"/>
          </w:p>
        </w:tc>
        <w:tc>
          <w:tcPr>
            <w:tcW w:w="2080" w:type="dxa"/>
            <w:tcBorders/>
            <w:shd w:fill="FFFFFF" w:val="clear"/>
            <w:vAlign w:val="center"/>
          </w:tcPr>
          <w:p>
            <w:pPr>
              <w:pStyle w:val="TableContents"/>
              <w:bidi w:val="0"/>
              <w:spacing w:before="0" w:after="283"/>
              <w:jc w:val="right"/>
              <w:rPr/>
            </w:pPr>
            <w:r>
              <w:rPr/>
              <w:t>64,877,415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51" w:name="xdx_98A_eifrs-full--SharePremium_iI_c202"/>
            <w:bookmarkEnd w:id="751"/>
          </w:p>
        </w:tc>
        <w:tc>
          <w:tcPr>
            <w:tcW w:w="1175" w:type="dxa"/>
            <w:tcBorders/>
            <w:shd w:fill="FFFFFF" w:val="clear"/>
            <w:vAlign w:val="center"/>
          </w:tcPr>
          <w:p>
            <w:pPr>
              <w:pStyle w:val="TableContents"/>
              <w:bidi w:val="0"/>
              <w:spacing w:before="0" w:after="283"/>
              <w:jc w:val="right"/>
              <w:rPr/>
            </w:pPr>
            <w:r>
              <w:rPr/>
              <w:t>(61,951,696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52" w:name="xdx_980_eifrs-full--SharePremium_iI_c202"/>
            <w:bookmarkEnd w:id="752"/>
          </w:p>
        </w:tc>
        <w:tc>
          <w:tcPr>
            <w:tcW w:w="1055" w:type="dxa"/>
            <w:tcBorders/>
            <w:shd w:fill="FFFFFF" w:val="clear"/>
            <w:vAlign w:val="center"/>
          </w:tcPr>
          <w:p>
            <w:pPr>
              <w:pStyle w:val="TableContents"/>
              <w:bidi w:val="0"/>
              <w:spacing w:before="0" w:after="283"/>
              <w:jc w:val="right"/>
              <w:rPr/>
            </w:pPr>
            <w:r>
              <w:rPr/>
              <w:t>2,925,719</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Deficit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bookmarkStart w:id="753" w:name="xdx_98D_eifrs-full--RetainedEarnings_iI_"/>
            <w:bookmarkEnd w:id="753"/>
          </w:p>
        </w:tc>
        <w:tc>
          <w:tcPr>
            <w:tcW w:w="2080" w:type="dxa"/>
            <w:tcBorders/>
            <w:shd w:fill="CCEEFF" w:val="clear"/>
            <w:vAlign w:val="center"/>
          </w:tcPr>
          <w:p>
            <w:pPr>
              <w:pStyle w:val="TableContents"/>
              <w:bidi w:val="0"/>
              <w:spacing w:before="0" w:after="283"/>
              <w:jc w:val="right"/>
              <w:rPr/>
            </w:pPr>
            <w:r>
              <w:rPr/>
              <w:t>(5,308,332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54" w:name="xdx_989_eifrs-full--RetainedEarnings_iI_"/>
            <w:bookmarkEnd w:id="754"/>
          </w:p>
        </w:tc>
        <w:tc>
          <w:tcPr>
            <w:tcW w:w="1175" w:type="dxa"/>
            <w:tcBorders/>
            <w:shd w:fill="CCEEFF" w:val="clear"/>
            <w:vAlign w:val="center"/>
          </w:tcPr>
          <w:p>
            <w:pPr>
              <w:pStyle w:val="TableContents"/>
              <w:bidi w:val="0"/>
              <w:spacing w:before="0" w:after="283"/>
              <w:jc w:val="right"/>
              <w:rPr/>
            </w:pPr>
            <w:r>
              <w:rPr/>
              <w:t>(254,025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55" w:name="xdx_983_eifrs-full--RetainedEarnings_iI_"/>
            <w:bookmarkEnd w:id="755"/>
          </w:p>
        </w:tc>
        <w:tc>
          <w:tcPr>
            <w:tcW w:w="1055" w:type="dxa"/>
            <w:tcBorders/>
            <w:shd w:fill="CCEEFF" w:val="clear"/>
            <w:vAlign w:val="center"/>
          </w:tcPr>
          <w:p>
            <w:pPr>
              <w:pStyle w:val="TableContents"/>
              <w:bidi w:val="0"/>
              <w:spacing w:before="0" w:after="283"/>
              <w:jc w:val="right"/>
              <w:rPr/>
            </w:pPr>
            <w:r>
              <w:rPr/>
              <w:t>(5,562,357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2024</w:t>
      </w:r>
    </w:p>
    <w:p>
      <w:pPr>
        <w:pStyle w:val="TextBody"/>
        <w:bidi w:val="0"/>
        <w:spacing w:before="0" w:after="283"/>
        <w:jc w:val="left"/>
        <w:rPr/>
      </w:pPr>
      <w:r>
        <w:rPr/>
        <w:t> </w:t>
      </w:r>
    </w:p>
    <w:tbl>
      <w:tblPr>
        <w:tblW w:w="6989" w:type="dxa"/>
        <w:jc w:val="left"/>
        <w:tblInd w:w="0" w:type="dxa"/>
        <w:tblLayout w:type="fixed"/>
        <w:tblCellMar>
          <w:top w:w="0" w:type="dxa"/>
          <w:left w:w="0" w:type="dxa"/>
          <w:bottom w:w="0" w:type="dxa"/>
          <w:right w:w="0" w:type="dxa"/>
        </w:tblCellMar>
      </w:tblPr>
      <w:tblGrid>
        <w:gridCol w:w="1655"/>
        <w:gridCol w:w="60"/>
        <w:gridCol w:w="264"/>
        <w:gridCol w:w="2080"/>
        <w:gridCol w:w="95"/>
        <w:gridCol w:w="60"/>
        <w:gridCol w:w="140"/>
        <w:gridCol w:w="1175"/>
        <w:gridCol w:w="95"/>
        <w:gridCol w:w="60"/>
        <w:gridCol w:w="140"/>
        <w:gridCol w:w="1055"/>
        <w:gridCol w:w="110"/>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bookmarkStart w:id="756" w:name="xdx_986_eifrs-full--IntangibleAssetsOthe"/>
            <w:bookmarkEnd w:id="756"/>
          </w:p>
        </w:tc>
        <w:tc>
          <w:tcPr>
            <w:tcW w:w="2080" w:type="dxa"/>
            <w:tcBorders/>
            <w:shd w:fill="CCEEFF" w:val="clear"/>
            <w:vAlign w:val="center"/>
          </w:tcPr>
          <w:p>
            <w:pPr>
              <w:pStyle w:val="TableContents"/>
              <w:bidi w:val="0"/>
              <w:spacing w:before="0" w:after="283"/>
              <w:jc w:val="right"/>
              <w:rPr/>
            </w:pPr>
            <w:r>
              <w:rPr/>
              <w:t>65,000,000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57" w:name="xdx_983_eifrs-full--IntangibleAssetsOthe"/>
            <w:bookmarkEnd w:id="757"/>
          </w:p>
        </w:tc>
        <w:tc>
          <w:tcPr>
            <w:tcW w:w="1175" w:type="dxa"/>
            <w:tcBorders/>
            <w:shd w:fill="CCEEFF" w:val="clear"/>
            <w:vAlign w:val="center"/>
          </w:tcPr>
          <w:p>
            <w:pPr>
              <w:pStyle w:val="TableContents"/>
              <w:bidi w:val="0"/>
              <w:spacing w:before="0" w:after="283"/>
              <w:jc w:val="right"/>
              <w:rPr/>
            </w:pPr>
            <w:r>
              <w:rPr/>
              <w:t>(62,510,552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58" w:name="xdx_983_eifrs-full--IntangibleAssetsOthe"/>
            <w:bookmarkEnd w:id="758"/>
          </w:p>
        </w:tc>
        <w:tc>
          <w:tcPr>
            <w:tcW w:w="1055" w:type="dxa"/>
            <w:tcBorders/>
            <w:shd w:fill="CCEEFF" w:val="clear"/>
            <w:vAlign w:val="center"/>
          </w:tcPr>
          <w:p>
            <w:pPr>
              <w:pStyle w:val="TableContents"/>
              <w:bidi w:val="0"/>
              <w:spacing w:before="0" w:after="283"/>
              <w:jc w:val="right"/>
              <w:rPr/>
            </w:pPr>
            <w:r>
              <w:rPr/>
              <w:t>2,489,448</w:t>
            </w:r>
          </w:p>
        </w:tc>
        <w:tc>
          <w:tcPr>
            <w:tcW w:w="110"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w:t>
            </w:r>
            <w:bookmarkStart w:id="759" w:name="xdx_981_eifrs-full--SharePremium_iI_c202"/>
            <w:bookmarkEnd w:id="759"/>
          </w:p>
        </w:tc>
        <w:tc>
          <w:tcPr>
            <w:tcW w:w="2080" w:type="dxa"/>
            <w:tcBorders/>
            <w:shd w:fill="FFFFFF" w:val="clear"/>
            <w:vAlign w:val="center"/>
          </w:tcPr>
          <w:p>
            <w:pPr>
              <w:pStyle w:val="TableContents"/>
              <w:bidi w:val="0"/>
              <w:spacing w:before="0" w:after="283"/>
              <w:jc w:val="right"/>
              <w:rPr/>
            </w:pPr>
            <w:r>
              <w:rPr/>
              <w:t>71,347,078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60" w:name="xdx_980_eifrs-full--SharePremium_iI_c202"/>
            <w:bookmarkEnd w:id="760"/>
          </w:p>
        </w:tc>
        <w:tc>
          <w:tcPr>
            <w:tcW w:w="1175" w:type="dxa"/>
            <w:tcBorders/>
            <w:shd w:fill="FFFFFF" w:val="clear"/>
            <w:vAlign w:val="center"/>
          </w:tcPr>
          <w:p>
            <w:pPr>
              <w:pStyle w:val="TableContents"/>
              <w:bidi w:val="0"/>
              <w:spacing w:before="0" w:after="283"/>
              <w:jc w:val="right"/>
              <w:rPr/>
            </w:pPr>
            <w:r>
              <w:rPr/>
              <w:t>(61,951,696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61" w:name="xdx_98B_eifrs-full--SharePremium_iI_c202"/>
            <w:bookmarkEnd w:id="761"/>
          </w:p>
        </w:tc>
        <w:tc>
          <w:tcPr>
            <w:tcW w:w="1055" w:type="dxa"/>
            <w:tcBorders/>
            <w:shd w:fill="FFFFFF" w:val="clear"/>
            <w:vAlign w:val="center"/>
          </w:tcPr>
          <w:p>
            <w:pPr>
              <w:pStyle w:val="TableContents"/>
              <w:bidi w:val="0"/>
              <w:spacing w:before="0" w:after="283"/>
              <w:jc w:val="right"/>
              <w:rPr/>
            </w:pPr>
            <w:r>
              <w:rPr/>
              <w:t>9,395,382</w:t>
            </w:r>
          </w:p>
        </w:tc>
        <w:tc>
          <w:tcPr>
            <w:tcW w:w="11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Deficit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bookmarkStart w:id="762" w:name="xdx_983_eifrs-full--RetainedEarnings_iI_"/>
            <w:bookmarkEnd w:id="762"/>
          </w:p>
        </w:tc>
        <w:tc>
          <w:tcPr>
            <w:tcW w:w="2080" w:type="dxa"/>
            <w:tcBorders/>
            <w:shd w:fill="CCEEFF" w:val="clear"/>
            <w:vAlign w:val="center"/>
          </w:tcPr>
          <w:p>
            <w:pPr>
              <w:pStyle w:val="TableContents"/>
              <w:bidi w:val="0"/>
              <w:spacing w:before="0" w:after="283"/>
              <w:jc w:val="right"/>
              <w:rPr/>
            </w:pPr>
            <w:r>
              <w:rPr/>
              <w:t>(6,628,685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63" w:name="xdx_989_eifrs-full--RetainedEarnings_iI_"/>
            <w:bookmarkEnd w:id="763"/>
          </w:p>
        </w:tc>
        <w:tc>
          <w:tcPr>
            <w:tcW w:w="1175" w:type="dxa"/>
            <w:tcBorders/>
            <w:shd w:fill="CCEEFF" w:val="clear"/>
            <w:vAlign w:val="center"/>
          </w:tcPr>
          <w:p>
            <w:pPr>
              <w:pStyle w:val="TableContents"/>
              <w:bidi w:val="0"/>
              <w:spacing w:before="0" w:after="283"/>
              <w:jc w:val="right"/>
              <w:rPr/>
            </w:pPr>
            <w:r>
              <w:rPr/>
              <w:t>(558,856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64" w:name="xdx_982_eifrs-full--RetainedEarnings_iI_"/>
            <w:bookmarkEnd w:id="764"/>
          </w:p>
        </w:tc>
        <w:tc>
          <w:tcPr>
            <w:tcW w:w="1055" w:type="dxa"/>
            <w:tcBorders/>
            <w:shd w:fill="CCEEFF" w:val="clear"/>
            <w:vAlign w:val="center"/>
          </w:tcPr>
          <w:p>
            <w:pPr>
              <w:pStyle w:val="TableContents"/>
              <w:bidi w:val="0"/>
              <w:spacing w:before="0" w:after="283"/>
              <w:jc w:val="right"/>
              <w:rPr/>
            </w:pPr>
            <w:r>
              <w:rPr/>
              <w:t>(7,187,541</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2025</w:t>
      </w:r>
    </w:p>
    <w:p>
      <w:pPr>
        <w:pStyle w:val="TextBody"/>
        <w:bidi w:val="0"/>
        <w:spacing w:before="0" w:after="283"/>
        <w:jc w:val="left"/>
        <w:rPr/>
      </w:pPr>
      <w:r>
        <w:rPr/>
        <w:t> </w:t>
      </w:r>
    </w:p>
    <w:tbl>
      <w:tblPr>
        <w:tblW w:w="6989" w:type="dxa"/>
        <w:jc w:val="left"/>
        <w:tblInd w:w="0" w:type="dxa"/>
        <w:tblLayout w:type="fixed"/>
        <w:tblCellMar>
          <w:top w:w="0" w:type="dxa"/>
          <w:left w:w="0" w:type="dxa"/>
          <w:bottom w:w="0" w:type="dxa"/>
          <w:right w:w="0" w:type="dxa"/>
        </w:tblCellMar>
      </w:tblPr>
      <w:tblGrid>
        <w:gridCol w:w="1655"/>
        <w:gridCol w:w="60"/>
        <w:gridCol w:w="264"/>
        <w:gridCol w:w="2080"/>
        <w:gridCol w:w="95"/>
        <w:gridCol w:w="60"/>
        <w:gridCol w:w="140"/>
        <w:gridCol w:w="1175"/>
        <w:gridCol w:w="95"/>
        <w:gridCol w:w="60"/>
        <w:gridCol w:w="140"/>
        <w:gridCol w:w="1055"/>
        <w:gridCol w:w="110"/>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bookmarkStart w:id="765" w:name="xdx_982_eifrs-full--IntangibleAssetsOthe"/>
            <w:bookmarkEnd w:id="765"/>
          </w:p>
        </w:tc>
        <w:tc>
          <w:tcPr>
            <w:tcW w:w="2080" w:type="dxa"/>
            <w:tcBorders/>
            <w:shd w:fill="CCEEFF" w:val="clear"/>
            <w:vAlign w:val="center"/>
          </w:tcPr>
          <w:p>
            <w:pPr>
              <w:pStyle w:val="TableContents"/>
              <w:bidi w:val="0"/>
              <w:spacing w:before="0" w:after="283"/>
              <w:jc w:val="right"/>
              <w:rPr/>
            </w:pPr>
            <w:r>
              <w:rPr/>
              <w:t>65,000,000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66" w:name="xdx_986_eifrs-full--IntangibleAssetsOthe"/>
            <w:bookmarkEnd w:id="766"/>
          </w:p>
        </w:tc>
        <w:tc>
          <w:tcPr>
            <w:tcW w:w="1175" w:type="dxa"/>
            <w:tcBorders/>
            <w:shd w:fill="CCEEFF" w:val="clear"/>
            <w:vAlign w:val="center"/>
          </w:tcPr>
          <w:p>
            <w:pPr>
              <w:pStyle w:val="TableContents"/>
              <w:bidi w:val="0"/>
              <w:spacing w:before="0" w:after="283"/>
              <w:jc w:val="right"/>
              <w:rPr/>
            </w:pPr>
            <w:r>
              <w:rPr/>
              <w:t>(62,815,382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67" w:name="xdx_98A_eifrs-full--IntangibleAssetsOthe"/>
            <w:bookmarkEnd w:id="767"/>
          </w:p>
        </w:tc>
        <w:tc>
          <w:tcPr>
            <w:tcW w:w="1055" w:type="dxa"/>
            <w:tcBorders/>
            <w:shd w:fill="CCEEFF" w:val="clear"/>
            <w:vAlign w:val="center"/>
          </w:tcPr>
          <w:p>
            <w:pPr>
              <w:pStyle w:val="TableContents"/>
              <w:bidi w:val="0"/>
              <w:spacing w:before="0" w:after="283"/>
              <w:jc w:val="right"/>
              <w:rPr/>
            </w:pPr>
            <w:r>
              <w:rPr/>
              <w:t>2,184,618</w:t>
            </w:r>
          </w:p>
        </w:tc>
        <w:tc>
          <w:tcPr>
            <w:tcW w:w="110"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w:t>
            </w:r>
            <w:bookmarkStart w:id="768" w:name="xdx_98D_eifrs-full--SharePremium_iI_c202"/>
            <w:bookmarkEnd w:id="768"/>
          </w:p>
        </w:tc>
        <w:tc>
          <w:tcPr>
            <w:tcW w:w="2080" w:type="dxa"/>
            <w:tcBorders/>
            <w:shd w:fill="FFFFFF" w:val="clear"/>
            <w:vAlign w:val="center"/>
          </w:tcPr>
          <w:p>
            <w:pPr>
              <w:pStyle w:val="TableContents"/>
              <w:bidi w:val="0"/>
              <w:spacing w:before="0" w:after="283"/>
              <w:jc w:val="right"/>
              <w:rPr/>
            </w:pPr>
            <w:r>
              <w:rPr/>
              <w:t>71,347,078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69" w:name="xdx_98A_eifrs-full--SharePremium_iI_c202"/>
            <w:bookmarkEnd w:id="769"/>
          </w:p>
        </w:tc>
        <w:tc>
          <w:tcPr>
            <w:tcW w:w="1175" w:type="dxa"/>
            <w:tcBorders/>
            <w:shd w:fill="FFFFFF" w:val="clear"/>
            <w:vAlign w:val="center"/>
          </w:tcPr>
          <w:p>
            <w:pPr>
              <w:pStyle w:val="TableContents"/>
              <w:bidi w:val="0"/>
              <w:spacing w:before="0" w:after="283"/>
              <w:jc w:val="right"/>
              <w:rPr/>
            </w:pPr>
            <w:r>
              <w:rPr/>
              <w:t>(61,951,696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70" w:name="xdx_982_eifrs-full--SharePremium_iI_c202"/>
            <w:bookmarkEnd w:id="770"/>
          </w:p>
        </w:tc>
        <w:tc>
          <w:tcPr>
            <w:tcW w:w="1055" w:type="dxa"/>
            <w:tcBorders/>
            <w:shd w:fill="FFFFFF" w:val="clear"/>
            <w:vAlign w:val="center"/>
          </w:tcPr>
          <w:p>
            <w:pPr>
              <w:pStyle w:val="TableContents"/>
              <w:bidi w:val="0"/>
              <w:spacing w:before="0" w:after="283"/>
              <w:jc w:val="right"/>
              <w:rPr/>
            </w:pPr>
            <w:r>
              <w:rPr/>
              <w:t>9,395,382</w:t>
            </w:r>
          </w:p>
        </w:tc>
        <w:tc>
          <w:tcPr>
            <w:tcW w:w="11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Deficit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bookmarkStart w:id="771" w:name="xdx_988_eifrs-full--RetainedEarnings_iI_"/>
            <w:bookmarkEnd w:id="771"/>
          </w:p>
        </w:tc>
        <w:tc>
          <w:tcPr>
            <w:tcW w:w="2080" w:type="dxa"/>
            <w:tcBorders/>
            <w:shd w:fill="CCEEFF" w:val="clear"/>
            <w:vAlign w:val="center"/>
          </w:tcPr>
          <w:p>
            <w:pPr>
              <w:pStyle w:val="TableContents"/>
              <w:bidi w:val="0"/>
              <w:spacing w:before="0" w:after="283"/>
              <w:jc w:val="right"/>
              <w:rPr/>
            </w:pPr>
            <w:r>
              <w:rPr/>
              <w:t>(7,452,662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72" w:name="xdx_983_eifrs-full--RetainedEarnings_iI_"/>
            <w:bookmarkEnd w:id="772"/>
          </w:p>
        </w:tc>
        <w:tc>
          <w:tcPr>
            <w:tcW w:w="1175" w:type="dxa"/>
            <w:tcBorders/>
            <w:shd w:fill="CCEEFF" w:val="clear"/>
            <w:vAlign w:val="center"/>
          </w:tcPr>
          <w:p>
            <w:pPr>
              <w:pStyle w:val="TableContents"/>
              <w:bidi w:val="0"/>
              <w:spacing w:before="0" w:after="283"/>
              <w:jc w:val="right"/>
              <w:rPr/>
            </w:pPr>
            <w:r>
              <w:rPr/>
              <w:t>(863,686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73" w:name="xdx_98C_eifrs-full--RetainedEarnings_iI_"/>
            <w:bookmarkEnd w:id="773"/>
          </w:p>
        </w:tc>
        <w:tc>
          <w:tcPr>
            <w:tcW w:w="1055" w:type="dxa"/>
            <w:tcBorders/>
            <w:shd w:fill="CCEEFF" w:val="clear"/>
            <w:vAlign w:val="center"/>
          </w:tcPr>
          <w:p>
            <w:pPr>
              <w:pStyle w:val="TableContents"/>
              <w:bidi w:val="0"/>
              <w:spacing w:before="0" w:after="283"/>
              <w:jc w:val="right"/>
              <w:rPr/>
            </w:pPr>
            <w:r>
              <w:rPr/>
              <w:t>(8,316,348</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774" w:name="xdx_8A7_zTIpKwv7AyxB"/>
      <w:bookmarkEnd w:id="774"/>
      <w:r>
        <w:rPr>
          <w:caps w:val="false"/>
          <w:smallCaps w:val="false"/>
        </w:rPr>
        <w:t> </w:t>
      </w:r>
    </w:p>
    <w:p>
      <w:pPr>
        <w:pStyle w:val="TextBody"/>
        <w:bidi w:val="0"/>
        <w:jc w:val="left"/>
        <w:rPr>
          <w:caps w:val="false"/>
          <w:smallCaps w:val="false"/>
        </w:rPr>
      </w:pPr>
      <w:bookmarkStart w:id="775" w:name="xdx_233_z6De7166E7mE"/>
      <w:bookmarkEnd w:id="775"/>
      <w:r>
        <w:rPr>
          <w:caps w:val="false"/>
          <w:smallCaps w:val="false"/>
        </w:rPr>
        <w:t> </w:t>
      </w:r>
    </w:p>
    <w:p>
      <w:pPr>
        <w:pStyle w:val="TextBody"/>
        <w:bidi w:val="0"/>
        <w:jc w:val="left"/>
        <w:rPr>
          <w:caps w:val="false"/>
          <w:smallCaps w:val="false"/>
        </w:rPr>
      </w:pPr>
      <w:bookmarkStart w:id="776" w:name="xdx_235_zNdMXjjyCIMN"/>
      <w:bookmarkEnd w:id="776"/>
      <w:r>
        <w:rPr>
          <w:caps w:val="false"/>
          <w:smallCaps w:val="false"/>
        </w:rPr>
        <w:t> </w:t>
      </w:r>
    </w:p>
    <w:p>
      <w:pPr>
        <w:pStyle w:val="TextBody"/>
        <w:bidi w:val="0"/>
        <w:jc w:val="left"/>
        <w:rPr>
          <w:caps w:val="false"/>
          <w:smallCaps w:val="false"/>
        </w:rPr>
      </w:pPr>
      <w:bookmarkStart w:id="777" w:name="xdx_23F_zWSyPsoTwbfp"/>
      <w:bookmarkEnd w:id="77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78" w:name="xdx_236_zqLnom9mPQpO"/>
      <w:bookmarkEnd w:id="778"/>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779" w:name="xdx_23B_zwmMJ7ZtSC4O"/>
      <w:bookmarkEnd w:id="77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0" w:name="xdx_237_zTGYNlJgnYQg"/>
      <w:bookmarkEnd w:id="780"/>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781" w:name="xdx_236_zroguxNh2AVo"/>
      <w:bookmarkEnd w:id="78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2" w:name="xdx_231_zPHdv3tay0NJ"/>
      <w:bookmarkEnd w:id="782"/>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3" w:name="xdx_232_zGJM5yydNnUk"/>
      <w:bookmarkEnd w:id="783"/>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784" w:name="xdx_23A_zJoFflqpWUl5"/>
      <w:bookmarkEnd w:id="784"/>
      <w:r>
        <w:rPr>
          <w:caps w:val="false"/>
          <w:smallCaps w:val="false"/>
        </w:rPr>
        <w:t> </w:t>
      </w:r>
    </w:p>
    <w:p>
      <w:pPr>
        <w:pStyle w:val="TextBody"/>
        <w:bidi w:val="0"/>
        <w:jc w:val="left"/>
        <w:rPr>
          <w:caps w:val="false"/>
          <w:smallCaps w:val="false"/>
        </w:rPr>
      </w:pPr>
      <w:bookmarkStart w:id="785" w:name="xdx_237_zyoIGr6VHz37"/>
      <w:bookmarkEnd w:id="785"/>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245"/>
        <w:gridCol w:w="5765"/>
      </w:tblGrid>
      <w:tr>
        <w:trPr/>
        <w:tc>
          <w:tcPr>
            <w:tcW w:w="245" w:type="dxa"/>
            <w:tcBorders/>
            <w:vAlign w:val="center"/>
          </w:tcPr>
          <w:p>
            <w:pPr>
              <w:pStyle w:val="TableContents"/>
              <w:bidi w:val="0"/>
              <w:spacing w:before="0" w:after="283"/>
              <w:jc w:val="left"/>
              <w:rPr>
                <w:b/>
                <w:sz w:val="20"/>
              </w:rPr>
            </w:pPr>
            <w:r>
              <w:rPr>
                <w:b/>
                <w:sz w:val="20"/>
              </w:rPr>
              <w:t>22</w:t>
            </w:r>
          </w:p>
        </w:tc>
        <w:tc>
          <w:tcPr>
            <w:tcW w:w="5765" w:type="dxa"/>
            <w:tcBorders/>
            <w:vAlign w:val="center"/>
          </w:tcPr>
          <w:p>
            <w:pPr>
              <w:pStyle w:val="TableContents"/>
              <w:bidi w:val="0"/>
              <w:spacing w:before="0" w:after="283"/>
              <w:jc w:val="left"/>
              <w:rPr>
                <w:b/>
                <w:sz w:val="20"/>
              </w:rPr>
            </w:pPr>
            <w:r>
              <w:rPr>
                <w:b/>
                <w:sz w:val="20"/>
              </w:rPr>
              <w:t>Revision of historical accounting treatment – as restated (continued)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bookmarkStart w:id="786" w:name="xdx_8B1_zjtIBb6NF0A2"/>
      <w:bookmarkStart w:id="787" w:name="xdx_89D_ecustom--EffectOnStatementsOfCas"/>
      <w:bookmarkEnd w:id="786"/>
      <w:bookmarkEnd w:id="787"/>
      <w:r>
        <w:rPr>
          <w:rFonts w:ascii="Times New Roman;Times;Serif" w:hAnsi="Times New Roman;Times;Serif"/>
          <w:b/>
          <w:i/>
          <w:caps w:val="false"/>
          <w:smallCaps w:val="false"/>
          <w:sz w:val="20"/>
        </w:rPr>
        <w:t>Effect on Statements of Cash Flows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2023</w:t>
      </w:r>
    </w:p>
    <w:p>
      <w:pPr>
        <w:pStyle w:val="TextBody"/>
        <w:bidi w:val="0"/>
        <w:jc w:val="left"/>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800"/>
        <w:gridCol w:w="60"/>
        <w:gridCol w:w="274"/>
        <w:gridCol w:w="2070"/>
        <w:gridCol w:w="95"/>
        <w:gridCol w:w="60"/>
        <w:gridCol w:w="168"/>
        <w:gridCol w:w="1052"/>
        <w:gridCol w:w="95"/>
        <w:gridCol w:w="60"/>
        <w:gridCol w:w="140"/>
        <w:gridCol w:w="1055"/>
        <w:gridCol w:w="110"/>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788" w:name="xdx_989_eifrs-full--ProfitLoss_c20230101"/>
            <w:bookmarkEnd w:id="788"/>
          </w:p>
        </w:tc>
        <w:tc>
          <w:tcPr>
            <w:tcW w:w="2070" w:type="dxa"/>
            <w:tcBorders/>
            <w:shd w:fill="CCEEFF" w:val="clear"/>
            <w:vAlign w:val="center"/>
          </w:tcPr>
          <w:p>
            <w:pPr>
              <w:pStyle w:val="TableContents"/>
              <w:bidi w:val="0"/>
              <w:spacing w:before="0" w:after="283"/>
              <w:jc w:val="right"/>
              <w:rPr/>
            </w:pPr>
            <w:r>
              <w:rPr/>
              <w:t>(5,308,332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789" w:name="xdx_988_eifrs-full--ProfitLoss_c20230101"/>
            <w:bookmarkEnd w:id="789"/>
          </w:p>
        </w:tc>
        <w:tc>
          <w:tcPr>
            <w:tcW w:w="1052" w:type="dxa"/>
            <w:tcBorders/>
            <w:shd w:fill="CCEEFF" w:val="clear"/>
            <w:vAlign w:val="center"/>
          </w:tcPr>
          <w:p>
            <w:pPr>
              <w:pStyle w:val="TableContents"/>
              <w:bidi w:val="0"/>
              <w:spacing w:before="0" w:after="283"/>
              <w:jc w:val="right"/>
              <w:rPr/>
            </w:pPr>
            <w:r>
              <w:rPr/>
              <w:t>(254,025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90" w:name="xdx_980_eifrs-full--ProfitLoss_c20230101"/>
            <w:bookmarkEnd w:id="790"/>
          </w:p>
        </w:tc>
        <w:tc>
          <w:tcPr>
            <w:tcW w:w="1055" w:type="dxa"/>
            <w:tcBorders/>
            <w:shd w:fill="CCEEFF" w:val="clear"/>
            <w:vAlign w:val="center"/>
          </w:tcPr>
          <w:p>
            <w:pPr>
              <w:pStyle w:val="TableContents"/>
              <w:bidi w:val="0"/>
              <w:spacing w:before="0" w:after="283"/>
              <w:jc w:val="right"/>
              <w:rPr/>
            </w:pPr>
            <w:r>
              <w:rPr/>
              <w:t>(5,562,357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2024</w:t>
      </w:r>
    </w:p>
    <w:p>
      <w:pPr>
        <w:pStyle w:val="TextBody"/>
        <w:bidi w:val="0"/>
        <w:jc w:val="left"/>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800"/>
        <w:gridCol w:w="60"/>
        <w:gridCol w:w="274"/>
        <w:gridCol w:w="2070"/>
        <w:gridCol w:w="95"/>
        <w:gridCol w:w="60"/>
        <w:gridCol w:w="168"/>
        <w:gridCol w:w="1052"/>
        <w:gridCol w:w="95"/>
        <w:gridCol w:w="60"/>
        <w:gridCol w:w="140"/>
        <w:gridCol w:w="1055"/>
        <w:gridCol w:w="110"/>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791" w:name="xdx_981_eifrs-full--ProfitLoss_c20240101"/>
            <w:bookmarkEnd w:id="791"/>
          </w:p>
        </w:tc>
        <w:tc>
          <w:tcPr>
            <w:tcW w:w="2070" w:type="dxa"/>
            <w:tcBorders/>
            <w:shd w:fill="CCEEFF" w:val="clear"/>
            <w:vAlign w:val="center"/>
          </w:tcPr>
          <w:p>
            <w:pPr>
              <w:pStyle w:val="TableContents"/>
              <w:bidi w:val="0"/>
              <w:spacing w:before="0" w:after="283"/>
              <w:jc w:val="right"/>
              <w:rPr/>
            </w:pPr>
            <w:r>
              <w:rPr/>
              <w:t>(1,320,353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792" w:name="xdx_98B_eifrs-full--ProfitLoss_c20240101"/>
            <w:bookmarkEnd w:id="792"/>
          </w:p>
        </w:tc>
        <w:tc>
          <w:tcPr>
            <w:tcW w:w="1052" w:type="dxa"/>
            <w:tcBorders/>
            <w:shd w:fill="CCEEFF" w:val="clear"/>
            <w:vAlign w:val="center"/>
          </w:tcPr>
          <w:p>
            <w:pPr>
              <w:pStyle w:val="TableContents"/>
              <w:bidi w:val="0"/>
              <w:spacing w:before="0" w:after="283"/>
              <w:jc w:val="right"/>
              <w:rPr/>
            </w:pPr>
            <w:r>
              <w:rPr/>
              <w:t>(304,830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93" w:name="xdx_98C_eifrs-full--ProfitLoss_c20240101"/>
            <w:bookmarkEnd w:id="793"/>
          </w:p>
        </w:tc>
        <w:tc>
          <w:tcPr>
            <w:tcW w:w="1055" w:type="dxa"/>
            <w:tcBorders/>
            <w:shd w:fill="CCEEFF" w:val="clear"/>
            <w:vAlign w:val="center"/>
          </w:tcPr>
          <w:p>
            <w:pPr>
              <w:pStyle w:val="TableContents"/>
              <w:bidi w:val="0"/>
              <w:spacing w:before="0" w:after="283"/>
              <w:jc w:val="right"/>
              <w:rPr/>
            </w:pPr>
            <w:r>
              <w:rPr/>
              <w:t>(1,625,183</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2025</w:t>
      </w:r>
    </w:p>
    <w:p>
      <w:pPr>
        <w:pStyle w:val="TextBody"/>
        <w:bidi w:val="0"/>
        <w:jc w:val="left"/>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800"/>
        <w:gridCol w:w="60"/>
        <w:gridCol w:w="322"/>
        <w:gridCol w:w="2022"/>
        <w:gridCol w:w="95"/>
        <w:gridCol w:w="60"/>
        <w:gridCol w:w="168"/>
        <w:gridCol w:w="1052"/>
        <w:gridCol w:w="95"/>
        <w:gridCol w:w="60"/>
        <w:gridCol w:w="140"/>
        <w:gridCol w:w="1055"/>
        <w:gridCol w:w="110"/>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794" w:name="xdx_98A_eifrs-full--ProfitLoss_c20250101"/>
            <w:bookmarkEnd w:id="794"/>
          </w:p>
        </w:tc>
        <w:tc>
          <w:tcPr>
            <w:tcW w:w="2022" w:type="dxa"/>
            <w:tcBorders/>
            <w:shd w:fill="CCEEFF" w:val="clear"/>
            <w:vAlign w:val="center"/>
          </w:tcPr>
          <w:p>
            <w:pPr>
              <w:pStyle w:val="TableContents"/>
              <w:bidi w:val="0"/>
              <w:spacing w:before="0" w:after="283"/>
              <w:jc w:val="right"/>
              <w:rPr/>
            </w:pPr>
            <w:r>
              <w:rPr/>
              <w:t>(823,977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795" w:name="xdx_981_eifrs-full--ProfitLoss_c20250101"/>
            <w:bookmarkEnd w:id="795"/>
          </w:p>
        </w:tc>
        <w:tc>
          <w:tcPr>
            <w:tcW w:w="1052" w:type="dxa"/>
            <w:tcBorders/>
            <w:shd w:fill="CCEEFF" w:val="clear"/>
            <w:vAlign w:val="center"/>
          </w:tcPr>
          <w:p>
            <w:pPr>
              <w:pStyle w:val="TableContents"/>
              <w:bidi w:val="0"/>
              <w:spacing w:before="0" w:after="283"/>
              <w:jc w:val="right"/>
              <w:rPr/>
            </w:pPr>
            <w:r>
              <w:rPr/>
              <w:t>(304,830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96" w:name="xdx_983_eifrs-full--ProfitLoss_c20250101"/>
            <w:bookmarkEnd w:id="796"/>
          </w:p>
        </w:tc>
        <w:tc>
          <w:tcPr>
            <w:tcW w:w="1055" w:type="dxa"/>
            <w:tcBorders/>
            <w:shd w:fill="CCEEFF" w:val="clear"/>
            <w:vAlign w:val="center"/>
          </w:tcPr>
          <w:p>
            <w:pPr>
              <w:pStyle w:val="TableContents"/>
              <w:bidi w:val="0"/>
              <w:spacing w:before="0" w:after="283"/>
              <w:jc w:val="right"/>
              <w:rPr/>
            </w:pPr>
            <w:r>
              <w:rPr/>
              <w:t>(1,128,807</w:t>
            </w:r>
          </w:p>
        </w:tc>
        <w:tc>
          <w:tcPr>
            <w:tcW w:w="11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bookmarkStart w:id="797" w:name="xdx_8A0_z4o41GeToCu6"/>
      <w:bookmarkEnd w:id="797"/>
      <w:r>
        <w:rPr>
          <w:caps w:val="false"/>
          <w:smallCaps w:val="false"/>
        </w:rPr>
        <w:t> </w:t>
      </w:r>
    </w:p>
    <w:p>
      <w:pPr>
        <w:pStyle w:val="TextBody"/>
        <w:bidi w:val="0"/>
        <w:jc w:val="left"/>
        <w:rPr>
          <w:rFonts w:ascii="Times New Roman;Times;Serif" w:hAnsi="Times New Roman;Times;Serif"/>
          <w:b/>
          <w:i/>
          <w:caps w:val="false"/>
          <w:smallCaps w:val="false"/>
          <w:sz w:val="20"/>
        </w:rPr>
      </w:pPr>
      <w:bookmarkStart w:id="798" w:name="xdx_8B5_zdzTe5JgxI8j"/>
      <w:bookmarkStart w:id="799" w:name="xdx_897_ecustom--ReconciliationOfIntangi"/>
      <w:bookmarkEnd w:id="798"/>
      <w:bookmarkEnd w:id="799"/>
      <w:r>
        <w:rPr>
          <w:rFonts w:ascii="Times New Roman;Times;Serif" w:hAnsi="Times New Roman;Times;Serif"/>
          <w:b/>
          <w:i/>
          <w:caps w:val="false"/>
          <w:smallCaps w:val="false"/>
          <w:sz w:val="20"/>
        </w:rPr>
        <w:t>Reconciliation of Intangible Asset Balance</w:t>
      </w:r>
    </w:p>
    <w:p>
      <w:pPr>
        <w:pStyle w:val="TextBody"/>
        <w:bidi w:val="0"/>
        <w:jc w:val="left"/>
        <w:rPr>
          <w:caps w:val="false"/>
          <w:smallCaps w:val="false"/>
        </w:rPr>
      </w:pPr>
      <w:r>
        <w:rPr>
          <w:caps w:val="false"/>
          <w:smallCaps w:val="false"/>
        </w:rPr>
        <w:t> </w:t>
      </w:r>
    </w:p>
    <w:tbl>
      <w:tblPr>
        <w:tblW w:w="7865" w:type="dxa"/>
        <w:jc w:val="left"/>
        <w:tblInd w:w="0" w:type="dxa"/>
        <w:tblLayout w:type="fixed"/>
        <w:tblCellMar>
          <w:top w:w="0" w:type="dxa"/>
          <w:left w:w="0" w:type="dxa"/>
          <w:bottom w:w="0" w:type="dxa"/>
          <w:right w:w="0" w:type="dxa"/>
        </w:tblCellMar>
      </w:tblPr>
      <w:tblGrid>
        <w:gridCol w:w="3440"/>
        <w:gridCol w:w="60"/>
        <w:gridCol w:w="140"/>
        <w:gridCol w:w="1175"/>
        <w:gridCol w:w="95"/>
        <w:gridCol w:w="60"/>
        <w:gridCol w:w="140"/>
        <w:gridCol w:w="1175"/>
        <w:gridCol w:w="95"/>
        <w:gridCol w:w="60"/>
        <w:gridCol w:w="140"/>
        <w:gridCol w:w="1175"/>
        <w:gridCol w:w="11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Carrying value previously reported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0" w:name="xdx_983_eifrs-full--IntangibleAssetsOthe"/>
            <w:bookmarkEnd w:id="800"/>
          </w:p>
        </w:tc>
        <w:tc>
          <w:tcPr>
            <w:tcW w:w="1175" w:type="dxa"/>
            <w:tcBorders/>
            <w:shd w:fill="CCEEFF" w:val="clear"/>
            <w:vAlign w:val="center"/>
          </w:tcPr>
          <w:p>
            <w:pPr>
              <w:pStyle w:val="TableContents"/>
              <w:bidi w:val="0"/>
              <w:spacing w:before="0" w:after="283"/>
              <w:jc w:val="right"/>
              <w:rPr/>
            </w:pPr>
            <w:r>
              <w:rPr/>
              <w:t>65,000,000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1" w:name="xdx_98B_eifrs-full--IntangibleAssetsOthe"/>
            <w:bookmarkEnd w:id="801"/>
          </w:p>
        </w:tc>
        <w:tc>
          <w:tcPr>
            <w:tcW w:w="1175" w:type="dxa"/>
            <w:tcBorders/>
            <w:shd w:fill="CCEEFF" w:val="clear"/>
            <w:vAlign w:val="center"/>
          </w:tcPr>
          <w:p>
            <w:pPr>
              <w:pStyle w:val="TableContents"/>
              <w:bidi w:val="0"/>
              <w:spacing w:before="0" w:after="283"/>
              <w:jc w:val="right"/>
              <w:rPr/>
            </w:pPr>
            <w:r>
              <w:rPr/>
              <w:t>65,000,000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2" w:name="xdx_988_eifrs-full--IntangibleAssetsOthe"/>
            <w:bookmarkEnd w:id="802"/>
          </w:p>
        </w:tc>
        <w:tc>
          <w:tcPr>
            <w:tcW w:w="1175" w:type="dxa"/>
            <w:tcBorders/>
            <w:shd w:fill="CCEEFF" w:val="clear"/>
            <w:vAlign w:val="center"/>
          </w:tcPr>
          <w:p>
            <w:pPr>
              <w:pStyle w:val="TableContents"/>
              <w:bidi w:val="0"/>
              <w:spacing w:before="0" w:after="283"/>
              <w:jc w:val="right"/>
              <w:rPr/>
            </w:pPr>
            <w:r>
              <w:rPr/>
              <w:t>65,000,000</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Carrying value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03" w:name="xdx_98F_eifrs-full--SharePremium_iI_c202"/>
            <w:bookmarkEnd w:id="803"/>
          </w:p>
        </w:tc>
        <w:tc>
          <w:tcPr>
            <w:tcW w:w="1175" w:type="dxa"/>
            <w:tcBorders/>
            <w:shd w:fill="FFFFFF" w:val="clear"/>
            <w:vAlign w:val="center"/>
          </w:tcPr>
          <w:p>
            <w:pPr>
              <w:pStyle w:val="TableContents"/>
              <w:bidi w:val="0"/>
              <w:spacing w:before="0" w:after="283"/>
              <w:jc w:val="right"/>
              <w:rPr/>
            </w:pPr>
            <w:r>
              <w:rPr/>
              <w:t>(61,951,696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04" w:name="xdx_981_eifrs-full--SharePremium_iI_c202"/>
            <w:bookmarkEnd w:id="804"/>
          </w:p>
        </w:tc>
        <w:tc>
          <w:tcPr>
            <w:tcW w:w="1175" w:type="dxa"/>
            <w:tcBorders/>
            <w:shd w:fill="FFFFFF" w:val="clear"/>
            <w:vAlign w:val="center"/>
          </w:tcPr>
          <w:p>
            <w:pPr>
              <w:pStyle w:val="TableContents"/>
              <w:bidi w:val="0"/>
              <w:spacing w:before="0" w:after="283"/>
              <w:jc w:val="right"/>
              <w:rPr/>
            </w:pPr>
            <w:r>
              <w:rPr/>
              <w:t>(61,951,696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05" w:name="xdx_982_eifrs-full--SharePremium_iI_c202"/>
            <w:bookmarkEnd w:id="805"/>
          </w:p>
        </w:tc>
        <w:tc>
          <w:tcPr>
            <w:tcW w:w="1175" w:type="dxa"/>
            <w:tcBorders/>
            <w:shd w:fill="FFFFFF" w:val="clear"/>
            <w:vAlign w:val="center"/>
          </w:tcPr>
          <w:p>
            <w:pPr>
              <w:pStyle w:val="TableContents"/>
              <w:bidi w:val="0"/>
              <w:spacing w:before="0" w:after="283"/>
              <w:jc w:val="right"/>
              <w:rPr/>
            </w:pPr>
            <w:r>
              <w:rPr/>
              <w:t>(61,951,696</w:t>
            </w:r>
          </w:p>
        </w:tc>
        <w:tc>
          <w:tcPr>
            <w:tcW w:w="110" w:type="dxa"/>
            <w:tcBorders/>
            <w:shd w:fill="FFFFFF" w:val="clear"/>
            <w:vAlign w:val="center"/>
          </w:tcPr>
          <w:p>
            <w:pPr>
              <w:pStyle w:val="TableContents"/>
              <w:bidi w:val="0"/>
              <w:spacing w:before="0" w:after="283"/>
              <w:jc w:val="left"/>
              <w:rPr/>
            </w:pPr>
            <w:r>
              <w:rPr/>
              <w:t>)</w:t>
            </w:r>
          </w:p>
        </w:tc>
      </w:tr>
      <w:tr>
        <w:trPr/>
        <w:tc>
          <w:tcPr>
            <w:tcW w:w="3440" w:type="dxa"/>
            <w:tcBorders/>
            <w:shd w:fill="CCEEFF" w:val="clear"/>
            <w:vAlign w:val="center"/>
          </w:tcPr>
          <w:p>
            <w:pPr>
              <w:pStyle w:val="TableContents"/>
              <w:bidi w:val="0"/>
              <w:spacing w:before="0" w:after="283"/>
              <w:jc w:val="left"/>
              <w:rPr/>
            </w:pPr>
            <w:r>
              <w:rPr/>
              <w:t>Cumulative amortization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6" w:name="xdx_98C_ecustom--IntangibleAssetsAccumul"/>
            <w:bookmarkEnd w:id="806"/>
          </w:p>
        </w:tc>
        <w:tc>
          <w:tcPr>
            <w:tcW w:w="1175" w:type="dxa"/>
            <w:tcBorders/>
            <w:shd w:fill="CCEEFF" w:val="clear"/>
            <w:vAlign w:val="center"/>
          </w:tcPr>
          <w:p>
            <w:pPr>
              <w:pStyle w:val="TableContents"/>
              <w:bidi w:val="0"/>
              <w:spacing w:before="0" w:after="283"/>
              <w:jc w:val="right"/>
              <w:rPr/>
            </w:pPr>
            <w:r>
              <w:rPr/>
              <w:t>(254,025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7" w:name="xdx_986_ecustom--IntangibleAssetsAccumul"/>
            <w:bookmarkEnd w:id="807"/>
          </w:p>
        </w:tc>
        <w:tc>
          <w:tcPr>
            <w:tcW w:w="1175" w:type="dxa"/>
            <w:tcBorders/>
            <w:shd w:fill="CCEEFF" w:val="clear"/>
            <w:vAlign w:val="center"/>
          </w:tcPr>
          <w:p>
            <w:pPr>
              <w:pStyle w:val="TableContents"/>
              <w:bidi w:val="0"/>
              <w:spacing w:before="0" w:after="283"/>
              <w:jc w:val="right"/>
              <w:rPr/>
            </w:pPr>
            <w:r>
              <w:rPr/>
              <w:t>(558,856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08" w:name="xdx_988_ecustom--IntangibleAssetsAccumul"/>
            <w:bookmarkEnd w:id="808"/>
          </w:p>
        </w:tc>
        <w:tc>
          <w:tcPr>
            <w:tcW w:w="1175" w:type="dxa"/>
            <w:tcBorders/>
            <w:shd w:fill="CCEEFF" w:val="clear"/>
            <w:vAlign w:val="center"/>
          </w:tcPr>
          <w:p>
            <w:pPr>
              <w:pStyle w:val="TableContents"/>
              <w:bidi w:val="0"/>
              <w:spacing w:before="0" w:after="283"/>
              <w:jc w:val="right"/>
              <w:rPr/>
            </w:pPr>
            <w:r>
              <w:rPr/>
              <w:t>(863,686</w:t>
            </w:r>
          </w:p>
        </w:tc>
        <w:tc>
          <w:tcPr>
            <w:tcW w:w="110"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283"/>
              <w:jc w:val="left"/>
              <w:rPr/>
            </w:pPr>
            <w:r>
              <w:rPr/>
              <w:t>Restated carrying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09" w:name="xdx_989_eifrs-full--IntangibleAssetsOthe"/>
            <w:bookmarkEnd w:id="809"/>
          </w:p>
        </w:tc>
        <w:tc>
          <w:tcPr>
            <w:tcW w:w="1175" w:type="dxa"/>
            <w:tcBorders/>
            <w:shd w:fill="FFFFFF" w:val="clear"/>
            <w:vAlign w:val="center"/>
          </w:tcPr>
          <w:p>
            <w:pPr>
              <w:pStyle w:val="TableContents"/>
              <w:bidi w:val="0"/>
              <w:spacing w:before="0" w:after="283"/>
              <w:jc w:val="right"/>
              <w:rPr/>
            </w:pPr>
            <w:r>
              <w:rPr/>
              <w:t>2,794,279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10" w:name="xdx_988_eifrs-full--IntangibleAssetsOthe"/>
            <w:bookmarkEnd w:id="810"/>
          </w:p>
        </w:tc>
        <w:tc>
          <w:tcPr>
            <w:tcW w:w="1175" w:type="dxa"/>
            <w:tcBorders/>
            <w:shd w:fill="FFFFFF" w:val="clear"/>
            <w:vAlign w:val="center"/>
          </w:tcPr>
          <w:p>
            <w:pPr>
              <w:pStyle w:val="TableContents"/>
              <w:bidi w:val="0"/>
              <w:spacing w:before="0" w:after="283"/>
              <w:jc w:val="right"/>
              <w:rPr/>
            </w:pPr>
            <w:r>
              <w:rPr/>
              <w:t>2,489,448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811" w:name="xdx_981_eifrs-full--IntangibleAssetsOthe"/>
            <w:bookmarkEnd w:id="811"/>
          </w:p>
        </w:tc>
        <w:tc>
          <w:tcPr>
            <w:tcW w:w="1175" w:type="dxa"/>
            <w:tcBorders/>
            <w:shd w:fill="FFFFFF" w:val="clear"/>
            <w:vAlign w:val="center"/>
          </w:tcPr>
          <w:p>
            <w:pPr>
              <w:pStyle w:val="TableContents"/>
              <w:bidi w:val="0"/>
              <w:spacing w:before="0" w:after="283"/>
              <w:jc w:val="right"/>
              <w:rPr/>
            </w:pPr>
            <w:r>
              <w:rPr/>
              <w:t>2,184,618</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812" w:name="xdx_8AD_znHgespZEFod"/>
      <w:bookmarkEnd w:id="812"/>
      <w:r>
        <w:rPr>
          <w:caps w:val="false"/>
          <w:smallCaps w:val="false"/>
        </w:rPr>
        <w:t> </w:t>
      </w:r>
    </w:p>
    <w:p>
      <w:pPr>
        <w:pStyle w:val="TextBody"/>
        <w:bidi w:val="0"/>
        <w:jc w:val="left"/>
        <w:rPr>
          <w:caps w:val="false"/>
          <w:smallCaps w:val="false"/>
        </w:rPr>
      </w:pPr>
      <w:bookmarkStart w:id="813" w:name="xdx_233_zrdXeQGRoX7g"/>
      <w:bookmarkEnd w:id="813"/>
      <w:r>
        <w:rPr>
          <w:caps w:val="false"/>
          <w:smallCaps w:val="false"/>
        </w:rPr>
        <w:t> </w:t>
      </w:r>
    </w:p>
    <w:p>
      <w:pPr>
        <w:pStyle w:val="TextBody"/>
        <w:bidi w:val="0"/>
        <w:jc w:val="left"/>
        <w:rPr>
          <w:caps w:val="false"/>
          <w:smallCaps w:val="false"/>
        </w:rPr>
      </w:pPr>
      <w:bookmarkStart w:id="814" w:name="xdx_23A_zwSsuetHZ83d"/>
      <w:bookmarkEnd w:id="814"/>
      <w:r>
        <w:rPr>
          <w:caps w:val="false"/>
          <w:smallCaps w:val="false"/>
        </w:rPr>
        <w:t> </w:t>
      </w:r>
    </w:p>
    <w:p>
      <w:pPr>
        <w:pStyle w:val="TextBody"/>
        <w:bidi w:val="0"/>
        <w:jc w:val="left"/>
        <w:rPr>
          <w:caps w:val="false"/>
          <w:smallCaps w:val="false"/>
        </w:rPr>
      </w:pPr>
      <w:bookmarkStart w:id="815" w:name="xdx_234_zI4ReSdE3Kmb"/>
      <w:bookmarkEnd w:id="81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6" w:name="xdx_236_zf54IycaWzjK"/>
      <w:bookmarkEnd w:id="816"/>
      <w:r>
        <w:rPr>
          <w:rFonts w:ascii="Times New Roman;Times;Serif" w:hAnsi="Times New Roman;Times;Serif"/>
          <w:b/>
          <w:i w:val="false"/>
          <w:caps w:val="false"/>
          <w:smallCaps w:val="false"/>
          <w:sz w:val="20"/>
        </w:rPr>
        <w:t>DAVION HEALTHCARE PLC AND SUBSIDIARY</w:t>
      </w:r>
    </w:p>
    <w:p>
      <w:pPr>
        <w:pStyle w:val="TextBody"/>
        <w:bidi w:val="0"/>
        <w:spacing w:before="0" w:after="0"/>
        <w:ind w:left="0" w:right="0" w:hanging="0"/>
        <w:jc w:val="left"/>
        <w:rPr>
          <w:caps w:val="false"/>
          <w:smallCaps w:val="false"/>
        </w:rPr>
      </w:pPr>
      <w:bookmarkStart w:id="817" w:name="xdx_23B_z3wtMVB7rxzB"/>
      <w:bookmarkEnd w:id="81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8" w:name="xdx_237_zaMh8YSeyxTi"/>
      <w:bookmarkEnd w:id="818"/>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bookmarkStart w:id="819" w:name="xdx_236_z1Uds0ibMQB4"/>
      <w:bookmarkEnd w:id="81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0" w:name="xdx_231_z0Dlox5U8vwh"/>
      <w:bookmarkEnd w:id="820"/>
      <w:r>
        <w:rPr>
          <w:rFonts w:ascii="Times New Roman;Times;Serif" w:hAnsi="Times New Roman;Times;Serif"/>
          <w:b/>
          <w:i w:val="false"/>
          <w:caps w:val="false"/>
          <w:smallCaps w:val="false"/>
          <w:sz w:val="20"/>
        </w:rPr>
        <w:t xml:space="preserve">FOR THE YEARS ENDED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1" w:name="xdx_232_zC36xzl4IMG4"/>
      <w:bookmarkEnd w:id="821"/>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both"/>
        <w:rPr>
          <w:caps w:val="false"/>
          <w:smallCaps w:val="false"/>
        </w:rPr>
      </w:pPr>
      <w:bookmarkStart w:id="822" w:name="xdx_23A_zRuohcmy1Ssh"/>
      <w:bookmarkEnd w:id="822"/>
      <w:r>
        <w:rPr>
          <w:caps w:val="false"/>
          <w:smallCaps w:val="false"/>
        </w:rPr>
        <w:t> </w:t>
      </w:r>
    </w:p>
    <w:p>
      <w:pPr>
        <w:pStyle w:val="TextBody"/>
        <w:bidi w:val="0"/>
        <w:jc w:val="left"/>
        <w:rPr>
          <w:caps w:val="false"/>
          <w:smallCaps w:val="false"/>
        </w:rPr>
      </w:pPr>
      <w:bookmarkStart w:id="823" w:name="xdx_230_zNsFFZii7Zoj"/>
      <w:bookmarkEnd w:id="823"/>
      <w:r>
        <w:rPr>
          <w:caps w:val="false"/>
          <w:smallCaps w:val="false"/>
        </w:rPr>
        <w:t> </w:t>
      </w:r>
    </w:p>
    <w:p>
      <w:pPr>
        <w:pStyle w:val="TextBody"/>
        <w:bidi w:val="0"/>
        <w:jc w:val="left"/>
        <w:rPr>
          <w:rFonts w:ascii="Times New Roman;Times;Serif" w:hAnsi="Times New Roman;Times;Serif"/>
          <w:b/>
          <w:i/>
          <w:caps w:val="false"/>
          <w:smallCaps w:val="false"/>
          <w:sz w:val="20"/>
        </w:rPr>
      </w:pPr>
      <w:bookmarkStart w:id="824" w:name="xdx_8B7_zesWtcdEqVxk"/>
      <w:bookmarkStart w:id="825" w:name="xdx_89F_ecustom--EffectOnProfitOrLossTab"/>
      <w:bookmarkEnd w:id="824"/>
      <w:bookmarkEnd w:id="825"/>
      <w:r>
        <w:rPr>
          <w:rFonts w:ascii="Times New Roman;Times;Serif" w:hAnsi="Times New Roman;Times;Serif"/>
          <w:b/>
          <w:i/>
          <w:caps w:val="false"/>
          <w:smallCaps w:val="false"/>
          <w:sz w:val="20"/>
        </w:rPr>
        <w:t>Effect on Profit or Loss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2023</w:t>
      </w:r>
    </w:p>
    <w:p>
      <w:pPr>
        <w:pStyle w:val="TextBody"/>
        <w:bidi w:val="0"/>
        <w:spacing w:before="0" w:after="283"/>
        <w:jc w:val="left"/>
        <w:rPr/>
      </w:pPr>
      <w:r>
        <w:rPr/>
        <w:t> </w:t>
      </w:r>
    </w:p>
    <w:tbl>
      <w:tblPr>
        <w:tblW w:w="9024" w:type="dxa"/>
        <w:jc w:val="left"/>
        <w:tblInd w:w="0" w:type="dxa"/>
        <w:tblLayout w:type="fixed"/>
        <w:tblCellMar>
          <w:top w:w="0" w:type="dxa"/>
          <w:left w:w="0" w:type="dxa"/>
          <w:bottom w:w="0" w:type="dxa"/>
          <w:right w:w="0" w:type="dxa"/>
        </w:tblCellMar>
      </w:tblPr>
      <w:tblGrid>
        <w:gridCol w:w="3725"/>
        <w:gridCol w:w="60"/>
        <w:gridCol w:w="274"/>
        <w:gridCol w:w="2070"/>
        <w:gridCol w:w="125"/>
        <w:gridCol w:w="60"/>
        <w:gridCol w:w="168"/>
        <w:gridCol w:w="1052"/>
        <w:gridCol w:w="125"/>
        <w:gridCol w:w="60"/>
        <w:gridCol w:w="140"/>
        <w:gridCol w:w="1055"/>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826" w:name="xdx_981_eifrs-full--Amortisation_d0_c202"/>
            <w:bookmarkEnd w:id="826"/>
          </w:p>
        </w:tc>
        <w:tc>
          <w:tcPr>
            <w:tcW w:w="2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827" w:name="xdx_98B_eifrs-full--Amortisation_iN_di_c"/>
            <w:bookmarkEnd w:id="827"/>
          </w:p>
        </w:tc>
        <w:tc>
          <w:tcPr>
            <w:tcW w:w="1052" w:type="dxa"/>
            <w:tcBorders/>
            <w:shd w:fill="CCEEFF" w:val="clear"/>
            <w:vAlign w:val="center"/>
          </w:tcPr>
          <w:p>
            <w:pPr>
              <w:pStyle w:val="TableContents"/>
              <w:bidi w:val="0"/>
              <w:spacing w:before="0" w:after="283"/>
              <w:jc w:val="right"/>
              <w:rPr/>
            </w:pPr>
            <w:r>
              <w:rPr/>
              <w:t>(254,025</w:t>
            </w:r>
          </w:p>
        </w:tc>
        <w:tc>
          <w:tcPr>
            <w:tcW w:w="12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28" w:name="xdx_988_eifrs-full--Amortisation_iN_di_c"/>
            <w:bookmarkEnd w:id="828"/>
          </w:p>
        </w:tc>
        <w:tc>
          <w:tcPr>
            <w:tcW w:w="1055" w:type="dxa"/>
            <w:tcBorders/>
            <w:shd w:fill="CCEEFF" w:val="clear"/>
            <w:vAlign w:val="center"/>
          </w:tcPr>
          <w:p>
            <w:pPr>
              <w:pStyle w:val="TableContents"/>
              <w:bidi w:val="0"/>
              <w:spacing w:before="0" w:after="283"/>
              <w:jc w:val="right"/>
              <w:rPr/>
            </w:pPr>
            <w:r>
              <w:rPr/>
              <w:t>(254,025</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bookmarkStart w:id="829" w:name="xdx_983_eifrs-full--ProfitLossFromOperat"/>
            <w:bookmarkEnd w:id="829"/>
          </w:p>
        </w:tc>
        <w:tc>
          <w:tcPr>
            <w:tcW w:w="2070" w:type="dxa"/>
            <w:tcBorders/>
            <w:shd w:fill="FFFFFF" w:val="clear"/>
            <w:vAlign w:val="center"/>
          </w:tcPr>
          <w:p>
            <w:pPr>
              <w:pStyle w:val="TableContents"/>
              <w:bidi w:val="0"/>
              <w:spacing w:before="0" w:after="283"/>
              <w:jc w:val="right"/>
              <w:rPr/>
            </w:pPr>
            <w:r>
              <w:rPr/>
              <w:t>(5,308,332</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830" w:name="xdx_983_eifrs-full--ProfitLossFromOperat"/>
            <w:bookmarkEnd w:id="830"/>
          </w:p>
        </w:tc>
        <w:tc>
          <w:tcPr>
            <w:tcW w:w="1052" w:type="dxa"/>
            <w:tcBorders/>
            <w:shd w:fill="FFFFFF" w:val="clear"/>
            <w:vAlign w:val="center"/>
          </w:tcPr>
          <w:p>
            <w:pPr>
              <w:pStyle w:val="TableContents"/>
              <w:bidi w:val="0"/>
              <w:spacing w:before="0" w:after="283"/>
              <w:jc w:val="right"/>
              <w:rPr/>
            </w:pPr>
            <w:r>
              <w:rPr/>
              <w:t>(254,025</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31" w:name="xdx_987_eifrs-full--ProfitLossFromOperat"/>
            <w:bookmarkEnd w:id="831"/>
          </w:p>
        </w:tc>
        <w:tc>
          <w:tcPr>
            <w:tcW w:w="1055" w:type="dxa"/>
            <w:tcBorders/>
            <w:shd w:fill="FFFFFF" w:val="clear"/>
            <w:vAlign w:val="center"/>
          </w:tcPr>
          <w:p>
            <w:pPr>
              <w:pStyle w:val="TableContents"/>
              <w:bidi w:val="0"/>
              <w:spacing w:before="0" w:after="283"/>
              <w:jc w:val="right"/>
              <w:rPr/>
            </w:pPr>
            <w:r>
              <w:rPr/>
              <w:t>(5,562,357</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sz w:val="20"/>
              </w:rPr>
            </w:pPr>
            <w:r>
              <w:rPr>
                <w:sz w:val="20"/>
              </w:rPr>
              <w:t>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2070" w:type="dxa"/>
            <w:tcBorders/>
            <w:shd w:fill="CCEEFF" w:val="clear"/>
            <w:vAlign w:val="center"/>
          </w:tcPr>
          <w:p>
            <w:pPr>
              <w:pStyle w:val="TableContents"/>
              <w:bidi w:val="0"/>
              <w:spacing w:before="0" w:after="283"/>
              <w:jc w:val="right"/>
              <w:rPr>
                <w:sz w:val="20"/>
              </w:rPr>
            </w:pPr>
            <w:r>
              <w:rPr>
                <w:sz w:val="20"/>
              </w:rPr>
              <w:t>(0.35</w:t>
            </w:r>
          </w:p>
        </w:tc>
        <w:tc>
          <w:tcPr>
            <w:tcW w:w="125" w:type="dxa"/>
            <w:tcBorders/>
            <w:shd w:fill="CCEEFF" w:val="clear"/>
            <w:vAlign w:val="center"/>
          </w:tcPr>
          <w:p>
            <w:pPr>
              <w:pStyle w:val="TableContents"/>
              <w:bidi w:val="0"/>
              <w:spacing w:before="0" w:after="283"/>
              <w:jc w:val="left"/>
              <w:rPr>
                <w:sz w:val="20"/>
              </w:rPr>
            </w:pPr>
            <w:r>
              <w:rPr>
                <w:sz w:val="20"/>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sz w:val="20"/>
              </w:rPr>
            </w:pPr>
            <w:r>
              <w:rPr>
                <w:sz w:val="20"/>
              </w:rPr>
              <w:t>(0.01</w:t>
            </w:r>
          </w:p>
        </w:tc>
        <w:tc>
          <w:tcPr>
            <w:tcW w:w="125" w:type="dxa"/>
            <w:tcBorders/>
            <w:shd w:fill="CCEEFF" w:val="clear"/>
            <w:vAlign w:val="center"/>
          </w:tcPr>
          <w:p>
            <w:pPr>
              <w:pStyle w:val="TableContents"/>
              <w:bidi w:val="0"/>
              <w:spacing w:before="0" w:after="283"/>
              <w:jc w:val="left"/>
              <w:rPr>
                <w:sz w:val="20"/>
              </w:rPr>
            </w:pPr>
            <w:r>
              <w:rPr>
                <w:sz w:val="2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sz w:val="20"/>
              </w:rPr>
            </w:pPr>
            <w:r>
              <w:rPr>
                <w:sz w:val="20"/>
              </w:rPr>
              <w:t>(0.36</w:t>
            </w:r>
          </w:p>
        </w:tc>
        <w:tc>
          <w:tcPr>
            <w:tcW w:w="110" w:type="dxa"/>
            <w:tcBorders/>
            <w:shd w:fill="CCEEFF" w:val="clear"/>
            <w:vAlign w:val="center"/>
          </w:tcPr>
          <w:p>
            <w:pPr>
              <w:pStyle w:val="TableContents"/>
              <w:bidi w:val="0"/>
              <w:spacing w:before="0" w:after="283"/>
              <w:jc w:val="left"/>
              <w:rPr>
                <w:sz w:val="20"/>
              </w:rPr>
            </w:pPr>
            <w:r>
              <w:rPr>
                <w:sz w:val="20"/>
              </w:rPr>
              <w: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2024</w:t>
      </w:r>
    </w:p>
    <w:p>
      <w:pPr>
        <w:pStyle w:val="TextBody"/>
        <w:bidi w:val="0"/>
        <w:spacing w:before="0" w:after="283"/>
        <w:jc w:val="left"/>
        <w:rPr/>
      </w:pPr>
      <w:r>
        <w:rPr/>
        <w:t> </w:t>
      </w:r>
    </w:p>
    <w:tbl>
      <w:tblPr>
        <w:tblW w:w="8994" w:type="dxa"/>
        <w:jc w:val="left"/>
        <w:tblInd w:w="0" w:type="dxa"/>
        <w:tblLayout w:type="fixed"/>
        <w:tblCellMar>
          <w:top w:w="0" w:type="dxa"/>
          <w:left w:w="0" w:type="dxa"/>
          <w:bottom w:w="0" w:type="dxa"/>
          <w:right w:w="0" w:type="dxa"/>
        </w:tblCellMar>
      </w:tblPr>
      <w:tblGrid>
        <w:gridCol w:w="3725"/>
        <w:gridCol w:w="60"/>
        <w:gridCol w:w="274"/>
        <w:gridCol w:w="2070"/>
        <w:gridCol w:w="95"/>
        <w:gridCol w:w="60"/>
        <w:gridCol w:w="168"/>
        <w:gridCol w:w="1052"/>
        <w:gridCol w:w="125"/>
        <w:gridCol w:w="60"/>
        <w:gridCol w:w="140"/>
        <w:gridCol w:w="1055"/>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832" w:name="xdx_988_eifrs-full--Amortisation_d0_c202"/>
            <w:bookmarkEnd w:id="832"/>
          </w:p>
        </w:tc>
        <w:tc>
          <w:tcPr>
            <w:tcW w:w="2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833" w:name="xdx_980_eifrs-full--Amortisation_iN_di_c"/>
            <w:bookmarkEnd w:id="833"/>
          </w:p>
        </w:tc>
        <w:tc>
          <w:tcPr>
            <w:tcW w:w="1052" w:type="dxa"/>
            <w:tcBorders/>
            <w:shd w:fill="CCEEFF" w:val="clear"/>
            <w:vAlign w:val="center"/>
          </w:tcPr>
          <w:p>
            <w:pPr>
              <w:pStyle w:val="TableContents"/>
              <w:bidi w:val="0"/>
              <w:spacing w:before="0" w:after="283"/>
              <w:jc w:val="right"/>
              <w:rPr/>
            </w:pPr>
            <w:r>
              <w:rPr/>
              <w:t>(304,830</w:t>
            </w:r>
          </w:p>
        </w:tc>
        <w:tc>
          <w:tcPr>
            <w:tcW w:w="12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34" w:name="xdx_98F_eifrs-full--Amortisation_iN_di_c"/>
            <w:bookmarkEnd w:id="834"/>
          </w:p>
        </w:tc>
        <w:tc>
          <w:tcPr>
            <w:tcW w:w="1055" w:type="dxa"/>
            <w:tcBorders/>
            <w:shd w:fill="CCEEFF" w:val="clear"/>
            <w:vAlign w:val="center"/>
          </w:tcPr>
          <w:p>
            <w:pPr>
              <w:pStyle w:val="TableContents"/>
              <w:bidi w:val="0"/>
              <w:spacing w:before="0" w:after="283"/>
              <w:jc w:val="right"/>
              <w:rPr/>
            </w:pPr>
            <w:r>
              <w:rPr/>
              <w:t>(304,830</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bookmarkStart w:id="835" w:name="xdx_98A_eifrs-full--ProfitLossFromOperat"/>
            <w:bookmarkEnd w:id="835"/>
          </w:p>
        </w:tc>
        <w:tc>
          <w:tcPr>
            <w:tcW w:w="2070" w:type="dxa"/>
            <w:tcBorders/>
            <w:shd w:fill="FFFFFF" w:val="clear"/>
            <w:vAlign w:val="center"/>
          </w:tcPr>
          <w:p>
            <w:pPr>
              <w:pStyle w:val="TableContents"/>
              <w:bidi w:val="0"/>
              <w:spacing w:before="0" w:after="283"/>
              <w:jc w:val="right"/>
              <w:rPr/>
            </w:pPr>
            <w:r>
              <w:rPr/>
              <w:t>(1,320,353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836" w:name="xdx_982_eifrs-full--ProfitLossFromOperat"/>
            <w:bookmarkEnd w:id="836"/>
          </w:p>
        </w:tc>
        <w:tc>
          <w:tcPr>
            <w:tcW w:w="1052" w:type="dxa"/>
            <w:tcBorders/>
            <w:shd w:fill="FFFFFF" w:val="clear"/>
            <w:vAlign w:val="center"/>
          </w:tcPr>
          <w:p>
            <w:pPr>
              <w:pStyle w:val="TableContents"/>
              <w:bidi w:val="0"/>
              <w:spacing w:before="0" w:after="283"/>
              <w:jc w:val="right"/>
              <w:rPr/>
            </w:pPr>
            <w:r>
              <w:rPr/>
              <w:t>(304,830</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37" w:name="xdx_980_eifrs-full--ProfitLossFromOperat"/>
            <w:bookmarkEnd w:id="837"/>
          </w:p>
        </w:tc>
        <w:tc>
          <w:tcPr>
            <w:tcW w:w="1055" w:type="dxa"/>
            <w:tcBorders/>
            <w:shd w:fill="FFFFFF" w:val="clear"/>
            <w:vAlign w:val="center"/>
          </w:tcPr>
          <w:p>
            <w:pPr>
              <w:pStyle w:val="TableContents"/>
              <w:bidi w:val="0"/>
              <w:spacing w:before="0" w:after="283"/>
              <w:jc w:val="right"/>
              <w:rPr/>
            </w:pPr>
            <w:r>
              <w:rPr/>
              <w:t>(1,625,183</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sz w:val="20"/>
              </w:rPr>
            </w:pPr>
            <w:r>
              <w:rPr>
                <w:sz w:val="20"/>
              </w:rPr>
              <w:t>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2070" w:type="dxa"/>
            <w:tcBorders/>
            <w:shd w:fill="CCEEFF" w:val="clear"/>
            <w:vAlign w:val="center"/>
          </w:tcPr>
          <w:p>
            <w:pPr>
              <w:pStyle w:val="TableContents"/>
              <w:bidi w:val="0"/>
              <w:spacing w:before="0" w:after="283"/>
              <w:jc w:val="right"/>
              <w:rPr>
                <w:sz w:val="20"/>
              </w:rPr>
            </w:pPr>
            <w:r>
              <w:rPr>
                <w:sz w:val="20"/>
              </w:rPr>
              <w:t>(0.06)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sz w:val="20"/>
              </w:rPr>
            </w:pPr>
            <w:r>
              <w:rPr>
                <w:sz w:val="20"/>
              </w:rPr>
              <w:t>(0.01</w:t>
            </w:r>
          </w:p>
        </w:tc>
        <w:tc>
          <w:tcPr>
            <w:tcW w:w="125" w:type="dxa"/>
            <w:tcBorders/>
            <w:shd w:fill="CCEEFF" w:val="clear"/>
            <w:vAlign w:val="center"/>
          </w:tcPr>
          <w:p>
            <w:pPr>
              <w:pStyle w:val="TableContents"/>
              <w:bidi w:val="0"/>
              <w:spacing w:before="0" w:after="283"/>
              <w:jc w:val="left"/>
              <w:rPr>
                <w:sz w:val="20"/>
              </w:rPr>
            </w:pPr>
            <w:r>
              <w:rPr>
                <w:sz w:val="2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sz w:val="20"/>
              </w:rPr>
            </w:pPr>
            <w:r>
              <w:rPr>
                <w:sz w:val="20"/>
              </w:rPr>
              <w:t>(0.07</w:t>
            </w:r>
          </w:p>
        </w:tc>
        <w:tc>
          <w:tcPr>
            <w:tcW w:w="110" w:type="dxa"/>
            <w:tcBorders/>
            <w:shd w:fill="CCEEFF" w:val="clear"/>
            <w:vAlign w:val="center"/>
          </w:tcPr>
          <w:p>
            <w:pPr>
              <w:pStyle w:val="TableContents"/>
              <w:bidi w:val="0"/>
              <w:spacing w:before="0" w:after="283"/>
              <w:jc w:val="left"/>
              <w:rPr>
                <w:sz w:val="20"/>
              </w:rPr>
            </w:pPr>
            <w:r>
              <w:rPr>
                <w:sz w:val="20"/>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 31 December 2025</w:t>
      </w:r>
    </w:p>
    <w:p>
      <w:pPr>
        <w:pStyle w:val="TextBody"/>
        <w:bidi w:val="0"/>
        <w:spacing w:before="0" w:after="283"/>
        <w:jc w:val="left"/>
        <w:rPr/>
      </w:pPr>
      <w:r>
        <w:rPr/>
        <w:t> </w:t>
      </w:r>
    </w:p>
    <w:tbl>
      <w:tblPr>
        <w:tblW w:w="8994" w:type="dxa"/>
        <w:jc w:val="left"/>
        <w:tblInd w:w="0" w:type="dxa"/>
        <w:tblLayout w:type="fixed"/>
        <w:tblCellMar>
          <w:top w:w="0" w:type="dxa"/>
          <w:left w:w="0" w:type="dxa"/>
          <w:bottom w:w="0" w:type="dxa"/>
          <w:right w:w="0" w:type="dxa"/>
        </w:tblCellMar>
      </w:tblPr>
      <w:tblGrid>
        <w:gridCol w:w="3725"/>
        <w:gridCol w:w="60"/>
        <w:gridCol w:w="322"/>
        <w:gridCol w:w="2022"/>
        <w:gridCol w:w="95"/>
        <w:gridCol w:w="60"/>
        <w:gridCol w:w="168"/>
        <w:gridCol w:w="1052"/>
        <w:gridCol w:w="125"/>
        <w:gridCol w:w="60"/>
        <w:gridCol w:w="140"/>
        <w:gridCol w:w="1055"/>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previously reported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Restated</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838" w:name="xdx_981_eifrs-full--Amortisation_d0_c202"/>
            <w:bookmarkEnd w:id="838"/>
          </w:p>
        </w:tc>
        <w:tc>
          <w:tcPr>
            <w:tcW w:w="20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839" w:name="xdx_989_eifrs-full--Amortisation_iN_di0_"/>
            <w:bookmarkEnd w:id="839"/>
          </w:p>
        </w:tc>
        <w:tc>
          <w:tcPr>
            <w:tcW w:w="1052" w:type="dxa"/>
            <w:tcBorders/>
            <w:shd w:fill="CCEEFF" w:val="clear"/>
            <w:vAlign w:val="center"/>
          </w:tcPr>
          <w:p>
            <w:pPr>
              <w:pStyle w:val="TableContents"/>
              <w:bidi w:val="0"/>
              <w:spacing w:before="0" w:after="283"/>
              <w:jc w:val="right"/>
              <w:rPr/>
            </w:pPr>
            <w:r>
              <w:rPr/>
              <w:t>(304,830</w:t>
            </w:r>
          </w:p>
        </w:tc>
        <w:tc>
          <w:tcPr>
            <w:tcW w:w="12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0" w:name="xdx_98F_eifrs-full--Amortisation_iN_di_c"/>
            <w:bookmarkEnd w:id="840"/>
          </w:p>
        </w:tc>
        <w:tc>
          <w:tcPr>
            <w:tcW w:w="1055" w:type="dxa"/>
            <w:tcBorders/>
            <w:shd w:fill="CCEEFF" w:val="clear"/>
            <w:vAlign w:val="center"/>
          </w:tcPr>
          <w:p>
            <w:pPr>
              <w:pStyle w:val="TableContents"/>
              <w:bidi w:val="0"/>
              <w:spacing w:before="0" w:after="283"/>
              <w:jc w:val="right"/>
              <w:rPr/>
            </w:pPr>
            <w:r>
              <w:rPr/>
              <w:t>(304,830</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bookmarkStart w:id="841" w:name="xdx_989_eifrs-full--ProfitLossFromOperat"/>
            <w:bookmarkEnd w:id="841"/>
          </w:p>
        </w:tc>
        <w:tc>
          <w:tcPr>
            <w:tcW w:w="2022" w:type="dxa"/>
            <w:tcBorders/>
            <w:shd w:fill="FFFFFF" w:val="clear"/>
            <w:vAlign w:val="center"/>
          </w:tcPr>
          <w:p>
            <w:pPr>
              <w:pStyle w:val="TableContents"/>
              <w:bidi w:val="0"/>
              <w:spacing w:before="0" w:after="283"/>
              <w:jc w:val="right"/>
              <w:rPr/>
            </w:pPr>
            <w:r>
              <w:rPr/>
              <w:t>(823,977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842" w:name="xdx_98F_eifrs-full--ProfitLossFromOperat"/>
            <w:bookmarkEnd w:id="842"/>
          </w:p>
        </w:tc>
        <w:tc>
          <w:tcPr>
            <w:tcW w:w="1052" w:type="dxa"/>
            <w:tcBorders/>
            <w:shd w:fill="FFFFFF" w:val="clear"/>
            <w:vAlign w:val="center"/>
          </w:tcPr>
          <w:p>
            <w:pPr>
              <w:pStyle w:val="TableContents"/>
              <w:bidi w:val="0"/>
              <w:spacing w:before="0" w:after="283"/>
              <w:jc w:val="right"/>
              <w:rPr/>
            </w:pPr>
            <w:r>
              <w:rPr/>
              <w:t>(304,830</w:t>
            </w:r>
          </w:p>
        </w:tc>
        <w:tc>
          <w:tcPr>
            <w:tcW w:w="12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43" w:name="xdx_984_eifrs-full--ProfitLossFromOperat"/>
            <w:bookmarkEnd w:id="843"/>
          </w:p>
        </w:tc>
        <w:tc>
          <w:tcPr>
            <w:tcW w:w="1055" w:type="dxa"/>
            <w:tcBorders/>
            <w:shd w:fill="FFFFFF" w:val="clear"/>
            <w:vAlign w:val="center"/>
          </w:tcPr>
          <w:p>
            <w:pPr>
              <w:pStyle w:val="TableContents"/>
              <w:bidi w:val="0"/>
              <w:spacing w:before="0" w:after="283"/>
              <w:jc w:val="right"/>
              <w:rPr/>
            </w:pPr>
            <w:r>
              <w:rPr/>
              <w:t>(1,128,807</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sz w:val="20"/>
              </w:rPr>
            </w:pPr>
            <w:r>
              <w:rPr>
                <w:sz w:val="20"/>
              </w:rPr>
              <w:t>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2022" w:type="dxa"/>
            <w:tcBorders/>
            <w:shd w:fill="CCEEFF" w:val="clear"/>
            <w:vAlign w:val="center"/>
          </w:tcPr>
          <w:p>
            <w:pPr>
              <w:pStyle w:val="TableContents"/>
              <w:bidi w:val="0"/>
              <w:spacing w:before="0" w:after="283"/>
              <w:jc w:val="right"/>
              <w:rPr>
                <w:sz w:val="20"/>
              </w:rPr>
            </w:pPr>
            <w:r>
              <w:rPr>
                <w:sz w:val="20"/>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sz w:val="20"/>
              </w:rPr>
            </w:pPr>
            <w:r>
              <w:rPr>
                <w:sz w:val="20"/>
              </w:rPr>
              <w:t>(0.02</w:t>
            </w:r>
          </w:p>
        </w:tc>
        <w:tc>
          <w:tcPr>
            <w:tcW w:w="125" w:type="dxa"/>
            <w:tcBorders/>
            <w:shd w:fill="CCEEFF" w:val="clear"/>
            <w:vAlign w:val="center"/>
          </w:tcPr>
          <w:p>
            <w:pPr>
              <w:pStyle w:val="TableContents"/>
              <w:bidi w:val="0"/>
              <w:spacing w:before="0" w:after="283"/>
              <w:jc w:val="left"/>
              <w:rPr>
                <w:sz w:val="20"/>
              </w:rPr>
            </w:pPr>
            <w:r>
              <w:rPr>
                <w:sz w:val="2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sz w:val="20"/>
              </w:rPr>
            </w:pPr>
            <w:r>
              <w:rPr>
                <w:sz w:val="20"/>
              </w:rPr>
              <w:t>(0.05</w:t>
            </w:r>
          </w:p>
        </w:tc>
        <w:tc>
          <w:tcPr>
            <w:tcW w:w="110" w:type="dxa"/>
            <w:tcBorders/>
            <w:shd w:fill="CCEEFF" w:val="clear"/>
            <w:vAlign w:val="center"/>
          </w:tcPr>
          <w:p>
            <w:pPr>
              <w:pStyle w:val="TableContents"/>
              <w:bidi w:val="0"/>
              <w:spacing w:before="0" w:after="283"/>
              <w:jc w:val="left"/>
              <w:rPr>
                <w:sz w:val="20"/>
              </w:rPr>
            </w:pPr>
            <w:r>
              <w:rPr>
                <w:sz w:val="20"/>
              </w:rPr>
              <w:t>)</w:t>
            </w:r>
          </w:p>
        </w:tc>
      </w:tr>
    </w:tbl>
    <w:p>
      <w:pPr>
        <w:pStyle w:val="TextBody"/>
        <w:bidi w:val="0"/>
        <w:jc w:val="left"/>
        <w:rPr>
          <w:caps w:val="false"/>
          <w:smallCaps w:val="false"/>
        </w:rPr>
      </w:pPr>
      <w:bookmarkStart w:id="844" w:name="xdx_8A3_zM695Og61Nze"/>
      <w:bookmarkEnd w:id="844"/>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45" w:name="xdx_817_zFCnNe7sEsII"/>
      <w:bookmarkEnd w:id="845"/>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Information Not Required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Irish law, the Companies Act 2014, a Company may not exempt or indemnify a director or officer of the Company from liability for negligence, default, breach of duty or breach of trust in relation to the Company. This restriction is set out in Section 235 of the Irish Companies Act 2014, which provides that any provision, whether contained in the Company’s constitution or in a contract with the Company or otherwise, which purports to exempt any officer of the Company from, or indemnify him or her against, any such liability is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Section 235(3) of the Companies Act 2014, a Company is permitted to indemnify a director or officer against any liability incurred in defending proceedings—whether civil or criminal—in which judgment is given in his or her favor, or in which he or she is acquitted, or in connection with any application in which relief is granted by the court under Section 233 (relief from liability for negligence, default, breach of duty or breach of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235(5) allows companies to purchase and maintain directors’ and officers’ liability insurance (commonly known as “D&amp;O insurance”) for any of its directors or officers. Davion Healthcare Plc maintains such insurance coverage for its directors and officers against certain liabilities they may incur in their capacity as such, subject to customary exclusions and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133 of the Articles of Association of the Company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and so far as may be permitted by the Act every Director, Managing Director, Auditor, Secretary and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Section 235(5) of the Companies Act 2014 permits a Company to purchase and maintain insurance for directors and officers in respect of liability arising from their acts or omissions in that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does not maintain directors’ and officers’ liability insurance. However, the Company intends to procure such insurance coverage prior to the commencement of trading of its Ordinary Shares on The Nasdaq Stock Market. This insurance will provide coverage against certain liabilities that may be incurred by the Company’s directors and officers in the performance of their duties, subject to customary limitations, exclusions, and deductibles.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equity securities during the past three years that were not registered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left"/>
        <w:rPr>
          <w:b/>
        </w:rPr>
      </w:pPr>
      <w:r>
        <w:rPr>
          <w:b/>
        </w:rPr>
        <w:t>(a) Exhibits</w:t>
      </w:r>
    </w:p>
    <w:p>
      <w:pPr>
        <w:pStyle w:val="TextBody"/>
        <w:bidi w:val="0"/>
        <w:spacing w:before="0" w:after="283"/>
        <w:jc w:val="left"/>
        <w:rPr/>
      </w:pPr>
      <w:r>
        <w:rPr/>
        <w:t> </w:t>
      </w:r>
    </w:p>
    <w:p>
      <w:pPr>
        <w:pStyle w:val="TextBody"/>
        <w:bidi w:val="0"/>
        <w:ind w:left="400" w:right="0" w:hanging="0"/>
        <w:jc w:val="left"/>
        <w:rPr/>
      </w:pPr>
      <w:r>
        <w:rPr/>
        <w:t>See “</w:t>
      </w:r>
      <w:hyperlink w:anchor="f1_100">
        <w:r>
          <w:rPr>
            <w:rStyle w:val="InternetLink"/>
          </w:rPr>
          <w:t>Index to Exhibits</w:t>
        </w:r>
      </w:hyperlink>
      <w:r>
        <w:rPr/>
        <w:t>” on page II-3 of this Registration Statement.</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Insofar as indemnification for liabilities arising under the Securities Act of 1933 may be permitted to directors, officers and controlling persons of the registrant pursuant to the provisions described under Item 6 of this Registration Statement,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46" w:name="f1_100"/>
      <w:bookmarkEnd w:id="846"/>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28" w:type="dxa"/>
          <w:right w:w="0" w:type="dxa"/>
        </w:tblCellMar>
      </w:tblPr>
      <w:tblGrid>
        <w:gridCol w:w="995"/>
        <w:gridCol w:w="60"/>
        <w:gridCol w:w="728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2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3.1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5">
              <w:r>
                <w:rPr>
                  <w:rStyle w:val="InternetLink"/>
                </w:rPr>
                <w:t>Memorandum and Articles of Association of the Company</w:t>
              </w:r>
            </w:hyperlink>
            <w:r>
              <w:rPr/>
              <w:t>*</w:t>
            </w:r>
          </w:p>
        </w:tc>
      </w:tr>
      <w:tr>
        <w:trPr/>
        <w:tc>
          <w:tcPr>
            <w:tcW w:w="995" w:type="dxa"/>
            <w:tcBorders/>
            <w:tcMar>
              <w:bottom w:w="0" w:type="dxa"/>
            </w:tcMar>
            <w:vAlign w:val="center"/>
          </w:tcPr>
          <w:p>
            <w:pPr>
              <w:pStyle w:val="TableContents"/>
              <w:bidi w:val="0"/>
              <w:spacing w:before="0" w:after="283"/>
              <w:jc w:val="left"/>
              <w:rPr/>
            </w:pPr>
            <w:r>
              <w:rPr/>
              <w:t>5.1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6">
              <w:r>
                <w:rPr>
                  <w:rStyle w:val="InternetLink"/>
                </w:rPr>
                <w:t>David E. Price, Esq. Legal Opinion</w:t>
              </w:r>
            </w:hyperlink>
            <w:r>
              <w:rPr/>
              <w:t>*</w:t>
            </w:r>
          </w:p>
        </w:tc>
      </w:tr>
      <w:tr>
        <w:trPr/>
        <w:tc>
          <w:tcPr>
            <w:tcW w:w="995"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7">
              <w:r>
                <w:rPr>
                  <w:rStyle w:val="InternetLink"/>
                </w:rPr>
                <w:t>Transfer Agency Agreement with VStock Transfer, LLC</w:t>
              </w:r>
            </w:hyperlink>
            <w:r>
              <w:rPr/>
              <w:t>*</w:t>
            </w:r>
          </w:p>
        </w:tc>
      </w:tr>
      <w:tr>
        <w:trPr/>
        <w:tc>
          <w:tcPr>
            <w:tcW w:w="995"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8">
              <w:r>
                <w:rPr>
                  <w:rStyle w:val="InternetLink"/>
                </w:rPr>
                <w:t>Outline Agreement between the Company and NeuRX Health Inc</w:t>
              </w:r>
            </w:hyperlink>
            <w:r>
              <w:rPr/>
              <w:t>*</w:t>
            </w:r>
          </w:p>
        </w:tc>
      </w:tr>
      <w:tr>
        <w:trPr/>
        <w:tc>
          <w:tcPr>
            <w:tcW w:w="995"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9">
              <w:r>
                <w:rPr>
                  <w:rStyle w:val="InternetLink"/>
                </w:rPr>
                <w:t>NeuRX Health Inc. Distribution Agreement</w:t>
              </w:r>
            </w:hyperlink>
            <w:r>
              <w:rPr/>
              <w:t>*</w:t>
            </w:r>
          </w:p>
        </w:tc>
      </w:tr>
      <w:tr>
        <w:trPr/>
        <w:tc>
          <w:tcPr>
            <w:tcW w:w="99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0">
              <w:r>
                <w:rPr>
                  <w:rStyle w:val="InternetLink"/>
                </w:rPr>
                <w:t>Jack Kaye Service Agreement</w:t>
              </w:r>
            </w:hyperlink>
            <w:r>
              <w:rPr/>
              <w:t>*</w:t>
            </w:r>
          </w:p>
        </w:tc>
      </w:tr>
      <w:tr>
        <w:trPr/>
        <w:tc>
          <w:tcPr>
            <w:tcW w:w="995" w:type="dxa"/>
            <w:tcBorders/>
            <w:tcMar>
              <w:bottom w:w="0" w:type="dxa"/>
            </w:tcMar>
            <w:vAlign w:val="center"/>
          </w:tcPr>
          <w:p>
            <w:pPr>
              <w:pStyle w:val="TableContents"/>
              <w:bidi w:val="0"/>
              <w:spacing w:before="0" w:after="283"/>
              <w:jc w:val="left"/>
              <w:rPr/>
            </w:pPr>
            <w:r>
              <w:rPr/>
              <w:t>10.5</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1">
              <w:r>
                <w:rPr>
                  <w:rStyle w:val="InternetLink"/>
                </w:rPr>
                <w:t>David Over Service Agreement</w:t>
              </w:r>
            </w:hyperlink>
            <w:r>
              <w:rPr/>
              <w:t>*</w:t>
            </w:r>
          </w:p>
        </w:tc>
      </w:tr>
      <w:tr>
        <w:trPr/>
        <w:tc>
          <w:tcPr>
            <w:tcW w:w="995" w:type="dxa"/>
            <w:tcBorders/>
            <w:tcMar>
              <w:bottom w:w="0" w:type="dxa"/>
            </w:tcMar>
            <w:vAlign w:val="center"/>
          </w:tcPr>
          <w:p>
            <w:pPr>
              <w:pStyle w:val="TableContents"/>
              <w:bidi w:val="0"/>
              <w:spacing w:before="0" w:after="283"/>
              <w:jc w:val="left"/>
              <w:rPr/>
            </w:pPr>
            <w:r>
              <w:rPr/>
              <w:t>10.6</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2">
              <w:r>
                <w:rPr>
                  <w:rStyle w:val="InternetLink"/>
                </w:rPr>
                <w:t>Davion NeuRX Exhibit Addendum</w:t>
              </w:r>
            </w:hyperlink>
            <w:r>
              <w:rPr/>
              <w:t>*</w:t>
            </w:r>
          </w:p>
        </w:tc>
      </w:tr>
      <w:tr>
        <w:trPr/>
        <w:tc>
          <w:tcPr>
            <w:tcW w:w="995" w:type="dxa"/>
            <w:tcBorders/>
            <w:tcMar>
              <w:bottom w:w="0" w:type="dxa"/>
            </w:tcMar>
            <w:vAlign w:val="center"/>
          </w:tcPr>
          <w:p>
            <w:pPr>
              <w:pStyle w:val="TableContents"/>
              <w:bidi w:val="0"/>
              <w:spacing w:before="0" w:after="283"/>
              <w:jc w:val="left"/>
              <w:rPr/>
            </w:pPr>
            <w:r>
              <w:rPr/>
              <w:t>10.7</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r>
              <w:rPr/>
              <w:t>Not used</w:t>
            </w:r>
          </w:p>
        </w:tc>
      </w:tr>
      <w:tr>
        <w:trPr/>
        <w:tc>
          <w:tcPr>
            <w:tcW w:w="995" w:type="dxa"/>
            <w:tcBorders/>
            <w:tcMar>
              <w:bottom w:w="0" w:type="dxa"/>
            </w:tcMar>
            <w:vAlign w:val="center"/>
          </w:tcPr>
          <w:p>
            <w:pPr>
              <w:pStyle w:val="TableContents"/>
              <w:bidi w:val="0"/>
              <w:spacing w:before="0" w:after="283"/>
              <w:jc w:val="left"/>
              <w:rPr/>
            </w:pPr>
            <w:r>
              <w:rPr/>
              <w:t>10.8</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0"/>
              <w:jc w:val="left"/>
              <w:rPr/>
            </w:pPr>
            <w:hyperlink r:id="rId13">
              <w:r>
                <w:rPr>
                  <w:rStyle w:val="InternetLink"/>
                  <w:rFonts w:ascii="Times New Roman;Times;Serif" w:hAnsi="Times New Roman;Times;Serif"/>
                  <w:b w:val="false"/>
                  <w:i w:val="false"/>
                  <w:caps w:val="false"/>
                  <w:smallCaps w:val="false"/>
                  <w:sz w:val="20"/>
                </w:rPr>
                <w:t>Andreas Ttofi Service Agreement</w:t>
              </w:r>
            </w:hyperlink>
            <w:r>
              <w:rPr>
                <w:rFonts w:ascii="Times New Roman;Times;Serif" w:hAnsi="Times New Roman;Times;Serif"/>
                <w:b w:val="false"/>
                <w:i w:val="false"/>
                <w:caps w:val="false"/>
                <w:smallCaps w:val="false"/>
                <w:sz w:val="20"/>
              </w:rPr>
              <w:t>*</w:t>
            </w:r>
          </w:p>
        </w:tc>
      </w:tr>
      <w:tr>
        <w:trPr/>
        <w:tc>
          <w:tcPr>
            <w:tcW w:w="995" w:type="dxa"/>
            <w:tcBorders/>
            <w:tcMar>
              <w:bottom w:w="0" w:type="dxa"/>
            </w:tcMar>
            <w:vAlign w:val="center"/>
          </w:tcPr>
          <w:p>
            <w:pPr>
              <w:pStyle w:val="TableContents"/>
              <w:bidi w:val="0"/>
              <w:spacing w:before="0" w:after="283"/>
              <w:jc w:val="left"/>
              <w:rPr/>
            </w:pPr>
            <w:r>
              <w:rPr/>
              <w:t>10.9</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4">
              <w:r>
                <w:rPr>
                  <w:rStyle w:val="InternetLink"/>
                </w:rPr>
                <w:t>Maxim Group LLC Financial Advisory Agreement dated February 3, 2026</w:t>
              </w:r>
            </w:hyperlink>
            <w:r>
              <w:rPr/>
              <w:t>*</w:t>
            </w:r>
          </w:p>
        </w:tc>
      </w:tr>
      <w:tr>
        <w:trPr/>
        <w:tc>
          <w:tcPr>
            <w:tcW w:w="995" w:type="dxa"/>
            <w:tcBorders/>
            <w:tcMar>
              <w:bottom w:w="0" w:type="dxa"/>
            </w:tcMar>
            <w:vAlign w:val="center"/>
          </w:tcPr>
          <w:p>
            <w:pPr>
              <w:pStyle w:val="TableContents"/>
              <w:bidi w:val="0"/>
              <w:spacing w:before="0" w:after="283"/>
              <w:jc w:val="left"/>
              <w:rPr/>
            </w:pPr>
            <w:r>
              <w:rPr/>
              <w:t>10.10</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5">
              <w:r>
                <w:rPr>
                  <w:rStyle w:val="InternetLink"/>
                </w:rPr>
                <w:t>Streeterville Capital LLC Loan Note dated March 10, 2026</w:t>
              </w:r>
            </w:hyperlink>
            <w:r>
              <w:rPr/>
              <w:t>*</w:t>
            </w:r>
          </w:p>
        </w:tc>
      </w:tr>
      <w:tr>
        <w:trPr/>
        <w:tc>
          <w:tcPr>
            <w:tcW w:w="995" w:type="dxa"/>
            <w:tcBorders/>
            <w:tcMar>
              <w:bottom w:w="0" w:type="dxa"/>
            </w:tcMar>
            <w:vAlign w:val="center"/>
          </w:tcPr>
          <w:p>
            <w:pPr>
              <w:pStyle w:val="TableContents"/>
              <w:bidi w:val="0"/>
              <w:spacing w:before="0" w:after="283"/>
              <w:jc w:val="left"/>
              <w:rPr/>
            </w:pPr>
            <w:r>
              <w:rPr/>
              <w:t>10.11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6">
              <w:r>
                <w:rPr>
                  <w:rStyle w:val="InternetLink"/>
                </w:rPr>
                <w:t>Vienna Capital Partners LLC Term Loan dated March 24, 2026</w:t>
              </w:r>
            </w:hyperlink>
            <w:r>
              <w:rPr/>
              <w:t>*</w:t>
            </w:r>
          </w:p>
        </w:tc>
      </w:tr>
      <w:tr>
        <w:trPr/>
        <w:tc>
          <w:tcPr>
            <w:tcW w:w="995" w:type="dxa"/>
            <w:tcBorders/>
            <w:tcMar>
              <w:bottom w:w="0" w:type="dxa"/>
            </w:tcMar>
            <w:vAlign w:val="center"/>
          </w:tcPr>
          <w:p>
            <w:pPr>
              <w:pStyle w:val="TableContents"/>
              <w:bidi w:val="0"/>
              <w:spacing w:before="0" w:after="283"/>
              <w:jc w:val="left"/>
              <w:rPr/>
            </w:pPr>
            <w:r>
              <w:rPr/>
              <w:t>11.0</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7">
              <w:r>
                <w:rPr>
                  <w:rStyle w:val="InternetLink"/>
                </w:rPr>
                <w:t>Revere Securities LCC Agreement</w:t>
              </w:r>
            </w:hyperlink>
            <w:r>
              <w:rPr/>
              <w:t>*</w:t>
            </w:r>
          </w:p>
        </w:tc>
      </w:tr>
      <w:tr>
        <w:trPr/>
        <w:tc>
          <w:tcPr>
            <w:tcW w:w="995" w:type="dxa"/>
            <w:tcBorders/>
            <w:tcMar>
              <w:bottom w:w="0" w:type="dxa"/>
            </w:tcMar>
            <w:vAlign w:val="center"/>
          </w:tcPr>
          <w:p>
            <w:pPr>
              <w:pStyle w:val="TableContents"/>
              <w:bidi w:val="0"/>
              <w:spacing w:before="0" w:after="283"/>
              <w:jc w:val="left"/>
              <w:rPr/>
            </w:pPr>
            <w:r>
              <w:rPr/>
              <w:t>11.1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8">
              <w:r>
                <w:rPr>
                  <w:rStyle w:val="InternetLink"/>
                </w:rPr>
                <w:t>Streeterville Convertible Note</w:t>
              </w:r>
            </w:hyperlink>
            <w:r>
              <w:rPr/>
              <w:t>*</w:t>
            </w:r>
          </w:p>
        </w:tc>
      </w:tr>
      <w:tr>
        <w:trPr/>
        <w:tc>
          <w:tcPr>
            <w:tcW w:w="995" w:type="dxa"/>
            <w:tcBorders/>
            <w:tcMar>
              <w:bottom w:w="0" w:type="dxa"/>
            </w:tcMar>
            <w:vAlign w:val="center"/>
          </w:tcPr>
          <w:p>
            <w:pPr>
              <w:pStyle w:val="TableContents"/>
              <w:bidi w:val="0"/>
              <w:spacing w:before="0" w:after="283"/>
              <w:jc w:val="left"/>
              <w:rPr/>
            </w:pPr>
            <w:r>
              <w:rPr/>
              <w:t>23.1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w:anchor="davion_ex2301.htm">
              <w:r>
                <w:rPr>
                  <w:rStyle w:val="InternetLink"/>
                </w:rPr>
                <w:t>Consent of Independent Auditors</w:t>
              </w:r>
            </w:hyperlink>
            <w:r>
              <w:rPr/>
              <w:t>**</w:t>
            </w:r>
          </w:p>
        </w:tc>
      </w:tr>
      <w:tr>
        <w:trPr/>
        <w:tc>
          <w:tcPr>
            <w:tcW w:w="995"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19">
              <w:r>
                <w:rPr>
                  <w:rStyle w:val="InternetLink"/>
                </w:rPr>
                <w:t>BreastCheck EU Declaration of Conformity</w:t>
              </w:r>
            </w:hyperlink>
            <w:r>
              <w:rPr/>
              <w:t>*</w:t>
            </w:r>
          </w:p>
        </w:tc>
      </w:tr>
      <w:tr>
        <w:trPr/>
        <w:tc>
          <w:tcPr>
            <w:tcW w:w="995" w:type="dxa"/>
            <w:tcBorders/>
            <w:tcMar>
              <w:bottom w:w="0" w:type="dxa"/>
            </w:tcMar>
            <w:vAlign w:val="center"/>
          </w:tcPr>
          <w:p>
            <w:pPr>
              <w:pStyle w:val="TableContents"/>
              <w:bidi w:val="0"/>
              <w:spacing w:before="0" w:after="283"/>
              <w:jc w:val="left"/>
              <w:rPr/>
            </w:pPr>
            <w:r>
              <w:rPr/>
              <w:t>99.2</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20">
              <w:r>
                <w:rPr>
                  <w:rStyle w:val="InternetLink"/>
                </w:rPr>
                <w:t>Executive Waiver of Salary Under Service Contracts</w:t>
              </w:r>
            </w:hyperlink>
            <w:r>
              <w:rPr/>
              <w:t>*</w:t>
            </w:r>
          </w:p>
        </w:tc>
      </w:tr>
      <w:tr>
        <w:trPr/>
        <w:tc>
          <w:tcPr>
            <w:tcW w:w="995" w:type="dxa"/>
            <w:tcBorders/>
            <w:tcMar>
              <w:bottom w:w="0" w:type="dxa"/>
            </w:tcMar>
            <w:vAlign w:val="center"/>
          </w:tcPr>
          <w:p>
            <w:pPr>
              <w:pStyle w:val="TableContents"/>
              <w:bidi w:val="0"/>
              <w:spacing w:before="0" w:after="283"/>
              <w:jc w:val="left"/>
              <w:rPr/>
            </w:pPr>
            <w:r>
              <w:rPr/>
              <w:t>99.3</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21">
              <w:r>
                <w:rPr>
                  <w:rStyle w:val="InternetLink"/>
                </w:rPr>
                <w:t>Directors Lockup Agreement</w:t>
              </w:r>
            </w:hyperlink>
            <w:r>
              <w:rPr/>
              <w:t>*</w:t>
            </w:r>
          </w:p>
        </w:tc>
      </w:tr>
      <w:tr>
        <w:trPr/>
        <w:tc>
          <w:tcPr>
            <w:tcW w:w="995" w:type="dxa"/>
            <w:tcBorders/>
            <w:tcMar>
              <w:bottom w:w="0" w:type="dxa"/>
            </w:tcMar>
            <w:vAlign w:val="center"/>
          </w:tcPr>
          <w:p>
            <w:pPr>
              <w:pStyle w:val="TableContents"/>
              <w:bidi w:val="0"/>
              <w:spacing w:before="0" w:after="283"/>
              <w:jc w:val="left"/>
              <w:rPr/>
            </w:pPr>
            <w:r>
              <w:rPr/>
              <w:t>99.4</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22">
              <w:r>
                <w:rPr>
                  <w:rStyle w:val="InternetLink"/>
                </w:rPr>
                <w:t>Letter of Support</w:t>
              </w:r>
            </w:hyperlink>
            <w:r>
              <w:rPr/>
              <w:t>*</w:t>
            </w:r>
          </w:p>
        </w:tc>
      </w:tr>
      <w:tr>
        <w:trPr/>
        <w:tc>
          <w:tcPr>
            <w:tcW w:w="995" w:type="dxa"/>
            <w:tcBorders/>
            <w:tcMar>
              <w:bottom w:w="0" w:type="dxa"/>
            </w:tcMar>
            <w:vAlign w:val="center"/>
          </w:tcPr>
          <w:p>
            <w:pPr>
              <w:pStyle w:val="TableContents"/>
              <w:bidi w:val="0"/>
              <w:spacing w:before="0" w:after="283"/>
              <w:jc w:val="left"/>
              <w:rPr/>
            </w:pPr>
            <w:r>
              <w:rPr/>
              <w:t>107</w:t>
            </w:r>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left"/>
              <w:rPr/>
            </w:pPr>
            <w:hyperlink r:id="rId23">
              <w:r>
                <w:rPr>
                  <w:rStyle w:val="InternetLink"/>
                </w:rPr>
                <w:t>Filing Fee Table</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
        <w:gridCol w:w="60"/>
        <w:gridCol w:w="9487"/>
      </w:tblGrid>
      <w:tr>
        <w:trPr/>
        <w:tc>
          <w:tcPr>
            <w:tcW w:w="658" w:type="dxa"/>
            <w:tcBorders/>
            <w:vAlign w:val="center"/>
          </w:tcPr>
          <w:p>
            <w:pPr>
              <w:pStyle w:val="TableContents"/>
              <w:bidi w:val="0"/>
              <w:spacing w:before="0" w:after="283"/>
              <w:jc w:val="left"/>
              <w:rPr>
                <w:sz w:val="20"/>
              </w:rPr>
            </w:pPr>
            <w:r>
              <w:rPr>
                <w:sz w:val="20"/>
              </w:rPr>
              <w:t>101.INS</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Instance Document (the instance document does not appear in the Interactive Data File because its XBRL tags are embedded within the Inline XBRL document)</w:t>
            </w:r>
          </w:p>
        </w:tc>
      </w:tr>
      <w:tr>
        <w:trPr/>
        <w:tc>
          <w:tcPr>
            <w:tcW w:w="658" w:type="dxa"/>
            <w:tcBorders/>
            <w:vAlign w:val="center"/>
          </w:tcPr>
          <w:p>
            <w:pPr>
              <w:pStyle w:val="TableContents"/>
              <w:bidi w:val="0"/>
              <w:spacing w:before="0" w:after="283"/>
              <w:jc w:val="left"/>
              <w:rPr>
                <w:sz w:val="20"/>
              </w:rPr>
            </w:pPr>
            <w:r>
              <w:rPr>
                <w:sz w:val="20"/>
              </w:rPr>
              <w:t>101.SCH</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Taxonomy Extension Schema Document</w:t>
            </w:r>
          </w:p>
        </w:tc>
      </w:tr>
      <w:tr>
        <w:trPr/>
        <w:tc>
          <w:tcPr>
            <w:tcW w:w="658" w:type="dxa"/>
            <w:tcBorders/>
            <w:vAlign w:val="center"/>
          </w:tcPr>
          <w:p>
            <w:pPr>
              <w:pStyle w:val="TableContents"/>
              <w:bidi w:val="0"/>
              <w:spacing w:before="0" w:after="283"/>
              <w:jc w:val="left"/>
              <w:rPr>
                <w:sz w:val="20"/>
              </w:rPr>
            </w:pPr>
            <w:r>
              <w:rPr>
                <w:sz w:val="20"/>
              </w:rPr>
              <w:t>101.CAL</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Taxonomy Extension Calculation Linkbase Document</w:t>
            </w:r>
          </w:p>
        </w:tc>
      </w:tr>
      <w:tr>
        <w:trPr/>
        <w:tc>
          <w:tcPr>
            <w:tcW w:w="658" w:type="dxa"/>
            <w:tcBorders/>
            <w:vAlign w:val="center"/>
          </w:tcPr>
          <w:p>
            <w:pPr>
              <w:pStyle w:val="TableContents"/>
              <w:bidi w:val="0"/>
              <w:spacing w:before="0" w:after="283"/>
              <w:jc w:val="left"/>
              <w:rPr>
                <w:sz w:val="20"/>
              </w:rPr>
            </w:pPr>
            <w:r>
              <w:rPr>
                <w:sz w:val="20"/>
              </w:rPr>
              <w:t>101.DEF</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Taxonomy Extension Definition Linkbase Document</w:t>
            </w:r>
          </w:p>
        </w:tc>
      </w:tr>
      <w:tr>
        <w:trPr/>
        <w:tc>
          <w:tcPr>
            <w:tcW w:w="658" w:type="dxa"/>
            <w:tcBorders/>
            <w:vAlign w:val="center"/>
          </w:tcPr>
          <w:p>
            <w:pPr>
              <w:pStyle w:val="TableContents"/>
              <w:bidi w:val="0"/>
              <w:spacing w:before="0" w:after="283"/>
              <w:jc w:val="left"/>
              <w:rPr>
                <w:sz w:val="20"/>
              </w:rPr>
            </w:pPr>
            <w:r>
              <w:rPr>
                <w:sz w:val="20"/>
              </w:rPr>
              <w:t>101.LAB</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Taxonomy Extension Label Linkbase Document</w:t>
            </w:r>
          </w:p>
        </w:tc>
      </w:tr>
      <w:tr>
        <w:trPr/>
        <w:tc>
          <w:tcPr>
            <w:tcW w:w="658" w:type="dxa"/>
            <w:tcBorders/>
            <w:vAlign w:val="center"/>
          </w:tcPr>
          <w:p>
            <w:pPr>
              <w:pStyle w:val="TableContents"/>
              <w:bidi w:val="0"/>
              <w:spacing w:before="0" w:after="283"/>
              <w:jc w:val="left"/>
              <w:rPr>
                <w:sz w:val="20"/>
              </w:rPr>
            </w:pPr>
            <w:r>
              <w:rPr>
                <w:sz w:val="20"/>
              </w:rPr>
              <w:t>101.PRE</w:t>
            </w:r>
          </w:p>
        </w:tc>
        <w:tc>
          <w:tcPr>
            <w:tcW w:w="60" w:type="dxa"/>
            <w:tcBorders/>
            <w:vAlign w:val="center"/>
          </w:tcPr>
          <w:p>
            <w:pPr>
              <w:pStyle w:val="TableContents"/>
              <w:bidi w:val="0"/>
              <w:spacing w:before="0" w:after="283"/>
              <w:jc w:val="left"/>
              <w:rPr/>
            </w:pPr>
            <w:r>
              <w:rPr/>
              <w:t> </w:t>
            </w:r>
          </w:p>
        </w:tc>
        <w:tc>
          <w:tcPr>
            <w:tcW w:w="9487" w:type="dxa"/>
            <w:tcBorders/>
            <w:vAlign w:val="center"/>
          </w:tcPr>
          <w:p>
            <w:pPr>
              <w:pStyle w:val="TableContents"/>
              <w:bidi w:val="0"/>
              <w:spacing w:before="0" w:after="283"/>
              <w:jc w:val="both"/>
              <w:rPr>
                <w:sz w:val="20"/>
              </w:rPr>
            </w:pPr>
            <w:r>
              <w:rPr>
                <w:sz w:val="20"/>
              </w:rPr>
              <w:t>Inline XBRL Taxonomy Extension Presentation Linkbase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authorised, in Cork, Ireland on 17 August, 2026.</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365"/>
        <w:gridCol w:w="2300"/>
      </w:tblGrid>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Davion Healthcare Plc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Jack Kaye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Jack Kaye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tbl>
      <w:tblPr>
        <w:tblW w:w="6450" w:type="dxa"/>
        <w:jc w:val="left"/>
        <w:tblInd w:w="0" w:type="dxa"/>
        <w:tblLayout w:type="fixed"/>
        <w:tblCellMar>
          <w:top w:w="0" w:type="dxa"/>
          <w:left w:w="0" w:type="dxa"/>
          <w:bottom w:w="28" w:type="dxa"/>
          <w:right w:w="0" w:type="dxa"/>
        </w:tblCellMar>
      </w:tblPr>
      <w:tblGrid>
        <w:gridCol w:w="1790"/>
        <w:gridCol w:w="180"/>
        <w:gridCol w:w="2570"/>
        <w:gridCol w:w="180"/>
        <w:gridCol w:w="1730"/>
      </w:tblGrid>
      <w:tr>
        <w:trPr/>
        <w:tc>
          <w:tcPr>
            <w:tcW w:w="1790" w:type="dxa"/>
            <w:tcBorders>
              <w:bottom w:val="single" w:sz="8" w:space="0" w:color="000000"/>
            </w:tcBorders>
            <w:vAlign w:val="center"/>
          </w:tcPr>
          <w:p>
            <w:pPr>
              <w:pStyle w:val="TableContents"/>
              <w:bidi w:val="0"/>
              <w:spacing w:before="0" w:after="283"/>
              <w:jc w:val="center"/>
              <w:rPr>
                <w:b/>
              </w:rPr>
            </w:pPr>
            <w:r>
              <w:rPr>
                <w:b/>
              </w:rPr>
              <w:t>Signature</w:t>
            </w:r>
          </w:p>
        </w:tc>
        <w:tc>
          <w:tcPr>
            <w:tcW w:w="180" w:type="dxa"/>
            <w:tcBorders/>
            <w:tcMar>
              <w:bottom w:w="0" w:type="dxa"/>
            </w:tcMar>
            <w:vAlign w:val="center"/>
          </w:tcPr>
          <w:p>
            <w:pPr>
              <w:pStyle w:val="TableContents"/>
              <w:bidi w:val="0"/>
              <w:spacing w:before="0" w:after="283"/>
              <w:jc w:val="left"/>
              <w:rPr/>
            </w:pPr>
            <w:r>
              <w:rPr/>
              <w:t> </w:t>
            </w:r>
          </w:p>
        </w:tc>
        <w:tc>
          <w:tcPr>
            <w:tcW w:w="2570" w:type="dxa"/>
            <w:tcBorders>
              <w:bottom w:val="single" w:sz="8" w:space="0" w:color="000000"/>
            </w:tcBorders>
            <w:vAlign w:val="center"/>
          </w:tcPr>
          <w:p>
            <w:pPr>
              <w:pStyle w:val="TableContents"/>
              <w:bidi w:val="0"/>
              <w:spacing w:before="0" w:after="283"/>
              <w:jc w:val="center"/>
              <w:rPr>
                <w:b/>
              </w:rPr>
            </w:pPr>
            <w:r>
              <w:rPr>
                <w:b/>
              </w:rPr>
              <w:t>Title</w:t>
            </w:r>
          </w:p>
        </w:tc>
        <w:tc>
          <w:tcPr>
            <w:tcW w:w="180" w:type="dxa"/>
            <w:tcBorders/>
            <w:tcMar>
              <w:bottom w:w="0" w:type="dxa"/>
            </w:tcMar>
            <w:vAlign w:val="center"/>
          </w:tcPr>
          <w:p>
            <w:pPr>
              <w:pStyle w:val="TableContents"/>
              <w:bidi w:val="0"/>
              <w:spacing w:before="0" w:after="283"/>
              <w:jc w:val="left"/>
              <w:rPr/>
            </w:pPr>
            <w:r>
              <w:rPr/>
              <w:t> </w:t>
            </w:r>
          </w:p>
        </w:tc>
        <w:tc>
          <w:tcPr>
            <w:tcW w:w="1730" w:type="dxa"/>
            <w:tcBorders>
              <w:bottom w:val="single" w:sz="8" w:space="0" w:color="000000"/>
            </w:tcBorders>
            <w:vAlign w:val="center"/>
          </w:tcPr>
          <w:p>
            <w:pPr>
              <w:pStyle w:val="TableContents"/>
              <w:bidi w:val="0"/>
              <w:spacing w:before="0" w:after="283"/>
              <w:jc w:val="center"/>
              <w:rPr>
                <w:b/>
              </w:rPr>
            </w:pPr>
            <w:r>
              <w:rPr>
                <w:b/>
              </w:rPr>
              <w:t>Date</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Jack Kaye</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730" w:type="dxa"/>
            <w:tcBorders/>
            <w:tcMar>
              <w:top w:w="60" w:type="dxa"/>
              <w:left w:w="60" w:type="dxa"/>
              <w:bottom w:w="60" w:type="dxa"/>
              <w:right w:w="60" w:type="dxa"/>
            </w:tcMar>
            <w:vAlign w:val="center"/>
          </w:tcPr>
          <w:p>
            <w:pPr>
              <w:pStyle w:val="TableContents"/>
              <w:bidi w:val="0"/>
              <w:spacing w:before="0" w:after="283"/>
              <w:jc w:val="left"/>
              <w:rPr/>
            </w:pPr>
            <w:r>
              <w:rPr/>
              <w:t>August 17,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Andreas Ttofi</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730" w:type="dxa"/>
            <w:tcBorders/>
            <w:tcMar>
              <w:top w:w="60" w:type="dxa"/>
              <w:left w:w="60" w:type="dxa"/>
              <w:bottom w:w="60" w:type="dxa"/>
              <w:right w:w="60" w:type="dxa"/>
            </w:tcMar>
            <w:vAlign w:val="center"/>
          </w:tcPr>
          <w:p>
            <w:pPr>
              <w:pStyle w:val="TableContents"/>
              <w:bidi w:val="0"/>
              <w:spacing w:before="0" w:after="283"/>
              <w:jc w:val="left"/>
              <w:rPr/>
            </w:pPr>
            <w:r>
              <w:rPr/>
              <w:t>August 17,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 xml:space="preserve">/s/ David Over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Commercial Officer </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730" w:type="dxa"/>
            <w:tcBorders/>
            <w:tcMar>
              <w:top w:w="60" w:type="dxa"/>
              <w:left w:w="60" w:type="dxa"/>
              <w:bottom w:w="60" w:type="dxa"/>
              <w:right w:w="60" w:type="dxa"/>
            </w:tcMar>
            <w:vAlign w:val="center"/>
          </w:tcPr>
          <w:p>
            <w:pPr>
              <w:pStyle w:val="TableContents"/>
              <w:bidi w:val="0"/>
              <w:spacing w:before="0" w:after="283"/>
              <w:jc w:val="left"/>
              <w:rPr/>
            </w:pPr>
            <w:r>
              <w:rPr/>
              <w:t>August 17,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Eric Peacock</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283"/>
              <w:jc w:val="left"/>
              <w:rPr/>
            </w:pPr>
            <w:r>
              <w:rPr/>
              <w:t>Non-Executive Chairman</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730" w:type="dxa"/>
            <w:tcBorders/>
            <w:tcMar>
              <w:top w:w="60" w:type="dxa"/>
              <w:left w:w="60" w:type="dxa"/>
              <w:bottom w:w="60" w:type="dxa"/>
              <w:right w:w="60" w:type="dxa"/>
            </w:tcMar>
            <w:vAlign w:val="center"/>
          </w:tcPr>
          <w:p>
            <w:pPr>
              <w:pStyle w:val="TableContents"/>
              <w:bidi w:val="0"/>
              <w:spacing w:before="0" w:after="283"/>
              <w:jc w:val="left"/>
              <w:rPr/>
            </w:pPr>
            <w:r>
              <w:rPr/>
              <w:t>August 17,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Kevin Riches</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283"/>
              <w:jc w:val="left"/>
              <w:rPr/>
            </w:pPr>
            <w:r>
              <w:rPr/>
              <w:t>Non-Executive Director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730" w:type="dxa"/>
            <w:tcBorders/>
            <w:tcMar>
              <w:top w:w="60" w:type="dxa"/>
              <w:left w:w="60" w:type="dxa"/>
              <w:bottom w:w="60" w:type="dxa"/>
              <w:right w:w="60" w:type="dxa"/>
            </w:tcMar>
            <w:vAlign w:val="center"/>
          </w:tcPr>
          <w:p>
            <w:pPr>
              <w:pStyle w:val="TableContents"/>
              <w:bidi w:val="0"/>
              <w:spacing w:before="0" w:after="283"/>
              <w:jc w:val="left"/>
              <w:rPr/>
            </w:pPr>
            <w:r>
              <w:rPr/>
              <w:t>August 17,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Susan M King</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283"/>
              <w:jc w:val="left"/>
              <w:rPr/>
            </w:pPr>
            <w:r>
              <w:rPr/>
              <w:t>Non-Executive Director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730" w:type="dxa"/>
            <w:tcBorders/>
            <w:tcMar>
              <w:top w:w="60" w:type="dxa"/>
              <w:left w:w="60" w:type="dxa"/>
              <w:bottom w:w="60" w:type="dxa"/>
              <w:right w:w="60" w:type="dxa"/>
            </w:tcMar>
            <w:vAlign w:val="center"/>
          </w:tcPr>
          <w:p>
            <w:pPr>
              <w:pStyle w:val="TableContents"/>
              <w:bidi w:val="0"/>
              <w:spacing w:before="0" w:after="283"/>
              <w:jc w:val="left"/>
              <w:rPr/>
            </w:pPr>
            <w:r>
              <w:rPr/>
              <w:t>August 17,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Julian Sluyters</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283"/>
              <w:jc w:val="left"/>
              <w:rPr/>
            </w:pPr>
            <w:r>
              <w:rPr/>
              <w:t>Non-Executive Director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730" w:type="dxa"/>
            <w:tcBorders/>
            <w:tcMar>
              <w:top w:w="60" w:type="dxa"/>
              <w:left w:w="60" w:type="dxa"/>
              <w:bottom w:w="60" w:type="dxa"/>
              <w:right w:w="60" w:type="dxa"/>
            </w:tcMar>
            <w:vAlign w:val="center"/>
          </w:tcPr>
          <w:p>
            <w:pPr>
              <w:pStyle w:val="TableContents"/>
              <w:bidi w:val="0"/>
              <w:spacing w:before="0" w:after="283"/>
              <w:jc w:val="left"/>
              <w:rPr/>
            </w:pPr>
            <w:r>
              <w:rPr/>
              <w:t>August 17, 2026</w:t>
            </w:r>
          </w:p>
        </w:tc>
      </w:tr>
      <w:tr>
        <w:trPr/>
        <w:tc>
          <w:tcPr>
            <w:tcW w:w="1790" w:type="dxa"/>
            <w:tcBorders/>
            <w:tcMar>
              <w:top w:w="60" w:type="dxa"/>
              <w:left w:w="60" w:type="dxa"/>
              <w:bottom w:w="60" w:type="dxa"/>
              <w:right w:w="60" w:type="dxa"/>
            </w:tcMar>
            <w:vAlign w:val="center"/>
          </w:tcPr>
          <w:p>
            <w:pPr>
              <w:pStyle w:val="TableContents"/>
              <w:bidi w:val="0"/>
              <w:spacing w:before="0" w:after="283"/>
              <w:jc w:val="left"/>
              <w:rPr/>
            </w:pPr>
            <w:r>
              <w:rPr/>
              <w:t>/s/ Jan Dulman</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2570" w:type="dxa"/>
            <w:tcBorders/>
            <w:tcMar>
              <w:top w:w="60" w:type="dxa"/>
              <w:left w:w="60" w:type="dxa"/>
              <w:bottom w:w="60" w:type="dxa"/>
              <w:right w:w="60" w:type="dxa"/>
            </w:tcMar>
            <w:vAlign w:val="center"/>
          </w:tcPr>
          <w:p>
            <w:pPr>
              <w:pStyle w:val="TableContents"/>
              <w:bidi w:val="0"/>
              <w:spacing w:before="0" w:after="283"/>
              <w:jc w:val="left"/>
              <w:rPr/>
            </w:pPr>
            <w:r>
              <w:rPr/>
              <w:t>Non-Executive Director</w:t>
            </w:r>
          </w:p>
        </w:tc>
        <w:tc>
          <w:tcPr>
            <w:tcW w:w="180" w:type="dxa"/>
            <w:tcBorders/>
            <w:tcMar>
              <w:top w:w="60" w:type="dxa"/>
              <w:left w:w="60" w:type="dxa"/>
              <w:bottom w:w="60" w:type="dxa"/>
              <w:right w:w="60" w:type="dxa"/>
            </w:tcMar>
            <w:vAlign w:val="center"/>
          </w:tcPr>
          <w:p>
            <w:pPr>
              <w:pStyle w:val="TableContents"/>
              <w:bidi w:val="0"/>
              <w:spacing w:before="0" w:after="283"/>
              <w:jc w:val="left"/>
              <w:rPr/>
            </w:pPr>
            <w:r>
              <w:rPr/>
              <w:t> </w:t>
            </w:r>
          </w:p>
        </w:tc>
        <w:tc>
          <w:tcPr>
            <w:tcW w:w="1730" w:type="dxa"/>
            <w:tcBorders/>
            <w:tcMar>
              <w:top w:w="60" w:type="dxa"/>
              <w:left w:w="60" w:type="dxa"/>
              <w:bottom w:w="60" w:type="dxa"/>
              <w:right w:w="60" w:type="dxa"/>
            </w:tcMar>
            <w:vAlign w:val="center"/>
          </w:tcPr>
          <w:p>
            <w:pPr>
              <w:pStyle w:val="TableContents"/>
              <w:bidi w:val="0"/>
              <w:spacing w:before="0" w:after="283"/>
              <w:jc w:val="left"/>
              <w:rPr/>
            </w:pPr>
            <w:r>
              <w:rPr/>
              <w:t>August 17, 2026</w:t>
            </w:r>
          </w:p>
        </w:tc>
      </w:tr>
    </w:tbl>
    <w:p>
      <w:pPr>
        <w:pStyle w:val="TextBody"/>
        <w:bidi w:val="0"/>
        <w:spacing w:before="0" w:after="1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47" w:name="davion_ex2301.htm"/>
      <w:bookmarkStart w:id="848" w:name="ksdavion_ex2301"/>
      <w:bookmarkEnd w:id="847"/>
      <w:bookmarkEnd w:id="848"/>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657475" cy="990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4"/>
                    <a:stretch>
                      <a:fillRect/>
                    </a:stretch>
                  </pic:blipFill>
                  <pic:spPr bwMode="auto">
                    <a:xfrm>
                      <a:off x="0" y="0"/>
                      <a:ext cx="2657475" cy="990600"/>
                    </a:xfrm>
                    <a:prstGeom prst="rect">
                      <a:avLst/>
                    </a:prstGeom>
                  </pic:spPr>
                </pic:pic>
              </a:graphicData>
            </a:graphic>
          </wp:inline>
        </w:drawing>
      </w:r>
    </w:p>
    <w:p>
      <w:pPr>
        <w:pStyle w:val="TextBody"/>
        <w:bidi w:val="0"/>
        <w:spacing w:before="0" w:after="0"/>
        <w:ind w:left="0" w:right="0" w:hanging="0"/>
        <w:jc w:val="left"/>
        <w:rPr>
          <w:caps w:val="false"/>
          <w:smallCaps w:val="false"/>
          <w:color w:val="0056B8"/>
        </w:rPr>
      </w:pPr>
      <w:r>
        <w:rPr>
          <w:caps w:val="false"/>
          <w:smallCaps w:val="false"/>
          <w:color w:val="0056B8"/>
        </w:rPr>
        <w:t> </w:t>
      </w:r>
    </w:p>
    <w:p>
      <w:pPr>
        <w:pStyle w:val="TextBody"/>
        <w:bidi w:val="0"/>
        <w:spacing w:before="0" w:after="0"/>
        <w:jc w:val="center"/>
        <w:rPr>
          <w:rFonts w:ascii="Times New Roman;Times;Serif" w:hAnsi="Times New Roman;Times;Serif"/>
          <w:b/>
          <w:i w:val="false"/>
          <w:caps w:val="false"/>
          <w:smallCaps w:val="false"/>
          <w:color w:val="0056B8"/>
          <w:sz w:val="20"/>
        </w:rPr>
      </w:pPr>
      <w:r>
        <w:rPr>
          <w:rFonts w:ascii="Times New Roman;Times;Serif" w:hAnsi="Times New Roman;Times;Serif"/>
          <w:b/>
          <w:i w:val="false"/>
          <w:caps w:val="false"/>
          <w:smallCaps w:val="false"/>
          <w:color w:val="0056B8"/>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Post Effective Amendment #6 on Form F-1 of our report dated April 6, 2026, except for the effects of the restatement discussed in Note 22, as to which the date is August 17, 2026, relating to the consolidated financial statements of Davion Healthcare Plc and Subsidiary which is contained in that Prospectus. We also consent to the reference to us under the caption “Experts” in the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355" w:hanging="0"/>
        <w:jc w:val="both"/>
        <w:rPr>
          <w:caps w:val="false"/>
          <w:smallCaps w:val="false"/>
        </w:rPr>
      </w:pPr>
      <w:r>
        <w:rPr>
          <w:caps w:val="false"/>
          <w:smallCaps w:val="false"/>
        </w:rPr>
        <w:t> </w:t>
      </w:r>
    </w:p>
    <w:p>
      <w:pPr>
        <w:pStyle w:val="TextBody"/>
        <w:bidi w:val="0"/>
        <w:spacing w:before="0" w:after="0"/>
        <w:ind w:left="0" w:right="0" w:hanging="0"/>
        <w:jc w:val="left"/>
        <w:rPr/>
      </w:pPr>
      <w:r>
        <w:rPr/>
        <w:drawing>
          <wp:inline distT="0" distB="0" distL="0" distR="0">
            <wp:extent cx="2857500"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5"/>
                    <a:stretch>
                      <a:fillRect/>
                    </a:stretch>
                  </pic:blipFill>
                  <pic:spPr bwMode="auto">
                    <a:xfrm>
                      <a:off x="0" y="0"/>
                      <a:ext cx="2857500" cy="2667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732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732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2039072/000168316825005601/davion_ex0301.htm" TargetMode="External"/><Relationship Id="rId6" Type="http://schemas.openxmlformats.org/officeDocument/2006/relationships/hyperlink" Target="https://www.sec.gov/Archives/edgar/data/2039072/000168316826001483/davion_ex0501.htm" TargetMode="External"/><Relationship Id="rId7" Type="http://schemas.openxmlformats.org/officeDocument/2006/relationships/hyperlink" Target="http://www.sec.gov/Archives/edgar/data/2039072/000168316825005601/davion_ex1001.htm" TargetMode="External"/><Relationship Id="rId8" Type="http://schemas.openxmlformats.org/officeDocument/2006/relationships/hyperlink" Target="http://www.sec.gov/Archives/edgar/data/2039072/000168316825005601/davion_ex1002.htm" TargetMode="External"/><Relationship Id="rId9" Type="http://schemas.openxmlformats.org/officeDocument/2006/relationships/hyperlink" Target="https://www.sec.gov/Archives/edgar/data/2039072/000168316825008066/davion_ex1003.htm" TargetMode="External"/><Relationship Id="rId10" Type="http://schemas.openxmlformats.org/officeDocument/2006/relationships/hyperlink" Target="https://www.sec.gov/Archives/edgar/data/2039072/000168316825008066/davion_ex1004.htm" TargetMode="External"/><Relationship Id="rId11" Type="http://schemas.openxmlformats.org/officeDocument/2006/relationships/hyperlink" Target="https://www.sec.gov/Archives/edgar/data/2039072/000168316825008066/davion_ex1005.htm" TargetMode="External"/><Relationship Id="rId12" Type="http://schemas.openxmlformats.org/officeDocument/2006/relationships/hyperlink" Target="https://www.sec.gov/Archives/edgar/data/2039072/000168316826001483/davion_ex1007.htm" TargetMode="External"/><Relationship Id="rId13" Type="http://schemas.openxmlformats.org/officeDocument/2006/relationships/hyperlink" Target="https://www.sec.gov/Archives/edgar/data/2039072/000168316826001483/davion_ex1009.htm" TargetMode="External"/><Relationship Id="rId14" Type="http://schemas.openxmlformats.org/officeDocument/2006/relationships/hyperlink" Target="https://www.sec.gov/Archives/edgar/data/2039072/000168316826003414/davion_ex1010.htm" TargetMode="External"/><Relationship Id="rId15" Type="http://schemas.openxmlformats.org/officeDocument/2006/relationships/hyperlink" Target="https://www.sec.gov/Archives/edgar/data/2039072/000168316826003414/davion_ex1011.htm" TargetMode="External"/><Relationship Id="rId16" Type="http://schemas.openxmlformats.org/officeDocument/2006/relationships/hyperlink" Target="https://www.sec.gov/Archives/edgar/data/2039072/000168316826003414/davion_ex1012.htm" TargetMode="External"/><Relationship Id="rId17" Type="http://schemas.openxmlformats.org/officeDocument/2006/relationships/hyperlink" Target="https://www.sec.gov/Archives/edgar/data/2039072/000168316826002675/davion_ex1100.htm" TargetMode="External"/><Relationship Id="rId18" Type="http://schemas.openxmlformats.org/officeDocument/2006/relationships/hyperlink" Target="https://www.sec.gov/Archives/edgar/data/2039072/000168316826002675/davion_ex1101.htm" TargetMode="External"/><Relationship Id="rId19" Type="http://schemas.openxmlformats.org/officeDocument/2006/relationships/hyperlink" Target="https://www.sec.gov/Archives/edgar/data/2039072/000168316825008066/davion_ex9901.htm" TargetMode="External"/><Relationship Id="rId20" Type="http://schemas.openxmlformats.org/officeDocument/2006/relationships/hyperlink" Target="https://www.sec.gov/Archives/edgar/data/2039072/000168316825008066/davion_ex9902.htm" TargetMode="External"/><Relationship Id="rId21" Type="http://schemas.openxmlformats.org/officeDocument/2006/relationships/hyperlink" Target="https://www.sec.gov/Archives/edgar/data/2039072/000168316825008066/davion_ex9903.htm" TargetMode="External"/><Relationship Id="rId22" Type="http://schemas.openxmlformats.org/officeDocument/2006/relationships/hyperlink" Target="https://www.sec.gov/Archives/edgar/data/2039072/000168316826002675/davion_ex9904.htm" TargetMode="External"/><Relationship Id="rId23" Type="http://schemas.openxmlformats.org/officeDocument/2006/relationships/hyperlink" Target="https://www.sec.gov/ix?doc=/Archives/edgar/data/2039072/000168316825005601/davion_ex107.htm" TargetMode="External"/><Relationship Id="rId24" Type="http://schemas.openxmlformats.org/officeDocument/2006/relationships/image" Target="media/image4.jpeg"/><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71145</Words>
  <Characters>403350</Characters>
  <CharactersWithSpaces>476519</CharactersWithSpaces>
  <Paragraphs>9303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